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3E9" w:rsidRDefault="007353E9" w:rsidP="007353E9">
      <w:pPr>
        <w:jc w:val="center"/>
        <w:rPr>
          <w:rFonts w:cstheme="minorHAnsi"/>
          <w:b/>
          <w:sz w:val="72"/>
        </w:rPr>
      </w:pPr>
    </w:p>
    <w:p w:rsidR="007353E9" w:rsidRDefault="007353E9" w:rsidP="007353E9">
      <w:pPr>
        <w:jc w:val="center"/>
        <w:rPr>
          <w:rFonts w:cstheme="minorHAnsi"/>
          <w:b/>
          <w:sz w:val="72"/>
        </w:rPr>
      </w:pPr>
    </w:p>
    <w:p w:rsidR="007353E9" w:rsidRDefault="007353E9" w:rsidP="007353E9">
      <w:pPr>
        <w:jc w:val="center"/>
        <w:rPr>
          <w:rFonts w:cstheme="minorHAnsi"/>
          <w:b/>
          <w:sz w:val="72"/>
        </w:rPr>
      </w:pPr>
    </w:p>
    <w:p w:rsidR="007353E9" w:rsidRPr="002A7951" w:rsidRDefault="007353E9" w:rsidP="007353E9">
      <w:pPr>
        <w:jc w:val="center"/>
        <w:rPr>
          <w:rFonts w:cstheme="minorHAnsi"/>
          <w:b/>
          <w:sz w:val="72"/>
        </w:rPr>
      </w:pPr>
      <w:r w:rsidRPr="002A7951">
        <w:rPr>
          <w:rFonts w:cstheme="minorHAnsi"/>
          <w:b/>
          <w:sz w:val="72"/>
        </w:rPr>
        <w:t>Evaluación Ex Post</w:t>
      </w:r>
    </w:p>
    <w:p w:rsidR="007353E9" w:rsidRPr="002A7951" w:rsidRDefault="007353E9" w:rsidP="007353E9">
      <w:pPr>
        <w:spacing w:after="0" w:line="240" w:lineRule="auto"/>
        <w:jc w:val="center"/>
        <w:rPr>
          <w:rFonts w:cstheme="minorHAnsi"/>
          <w:b/>
          <w:sz w:val="72"/>
        </w:rPr>
      </w:pPr>
      <w:r w:rsidRPr="002A7951">
        <w:rPr>
          <w:rFonts w:cstheme="minorHAnsi"/>
          <w:b/>
          <w:sz w:val="72"/>
        </w:rPr>
        <w:t xml:space="preserve">Libramiento Ferroviario De </w:t>
      </w:r>
      <w:r w:rsidR="00CD5A56">
        <w:rPr>
          <w:rFonts w:cstheme="minorHAnsi"/>
          <w:b/>
          <w:sz w:val="72"/>
        </w:rPr>
        <w:t>Tapachula</w:t>
      </w:r>
    </w:p>
    <w:p w:rsidR="007353E9" w:rsidRDefault="007353E9" w:rsidP="007353E9">
      <w:pPr>
        <w:spacing w:after="0" w:line="240" w:lineRule="auto"/>
        <w:rPr>
          <w:rFonts w:cstheme="minorHAnsi"/>
          <w:b/>
          <w:sz w:val="40"/>
        </w:rPr>
      </w:pPr>
    </w:p>
    <w:p w:rsidR="007353E9" w:rsidRDefault="007353E9" w:rsidP="007353E9">
      <w:pPr>
        <w:spacing w:after="0" w:line="240" w:lineRule="auto"/>
        <w:rPr>
          <w:rFonts w:cstheme="minorHAnsi"/>
          <w:b/>
          <w:sz w:val="32"/>
        </w:rPr>
      </w:pPr>
    </w:p>
    <w:p w:rsidR="007353E9" w:rsidRDefault="007353E9" w:rsidP="007353E9">
      <w:pPr>
        <w:spacing w:after="0" w:line="240" w:lineRule="auto"/>
        <w:rPr>
          <w:rFonts w:cstheme="minorHAnsi"/>
          <w:b/>
          <w:sz w:val="32"/>
        </w:rPr>
      </w:pPr>
    </w:p>
    <w:p w:rsidR="007353E9" w:rsidRDefault="007353E9" w:rsidP="007353E9">
      <w:pPr>
        <w:spacing w:after="0" w:line="240" w:lineRule="auto"/>
        <w:rPr>
          <w:rFonts w:cstheme="minorHAnsi"/>
          <w:b/>
          <w:sz w:val="32"/>
        </w:rPr>
      </w:pPr>
    </w:p>
    <w:p w:rsidR="007353E9" w:rsidRDefault="007353E9" w:rsidP="007353E9">
      <w:pPr>
        <w:spacing w:after="0" w:line="240" w:lineRule="auto"/>
        <w:jc w:val="right"/>
        <w:rPr>
          <w:rFonts w:cstheme="minorHAnsi"/>
          <w:b/>
          <w:sz w:val="32"/>
        </w:rPr>
      </w:pPr>
    </w:p>
    <w:p w:rsidR="007353E9" w:rsidRDefault="007353E9" w:rsidP="007353E9">
      <w:pPr>
        <w:spacing w:after="0" w:line="240" w:lineRule="auto"/>
        <w:jc w:val="right"/>
        <w:rPr>
          <w:rFonts w:cstheme="minorHAnsi"/>
          <w:b/>
          <w:sz w:val="32"/>
        </w:rPr>
      </w:pPr>
    </w:p>
    <w:p w:rsidR="007353E9" w:rsidRDefault="007353E9" w:rsidP="007353E9">
      <w:pPr>
        <w:spacing w:after="0" w:line="240" w:lineRule="auto"/>
        <w:jc w:val="right"/>
        <w:rPr>
          <w:rFonts w:cstheme="minorHAnsi"/>
          <w:b/>
          <w:sz w:val="32"/>
        </w:rPr>
      </w:pPr>
    </w:p>
    <w:p w:rsidR="007353E9" w:rsidRDefault="007353E9" w:rsidP="007353E9">
      <w:pPr>
        <w:spacing w:after="0" w:line="240" w:lineRule="auto"/>
        <w:jc w:val="right"/>
        <w:rPr>
          <w:rFonts w:cstheme="minorHAnsi"/>
          <w:b/>
          <w:sz w:val="32"/>
        </w:rPr>
      </w:pPr>
    </w:p>
    <w:p w:rsidR="007353E9" w:rsidRDefault="007353E9" w:rsidP="007353E9">
      <w:pPr>
        <w:spacing w:after="0" w:line="240" w:lineRule="auto"/>
        <w:rPr>
          <w:rFonts w:cstheme="minorHAnsi"/>
          <w:b/>
          <w:sz w:val="32"/>
        </w:rPr>
      </w:pPr>
    </w:p>
    <w:p w:rsidR="007353E9" w:rsidRDefault="007353E9" w:rsidP="007353E9">
      <w:pPr>
        <w:spacing w:after="0" w:line="240" w:lineRule="auto"/>
        <w:jc w:val="right"/>
        <w:rPr>
          <w:rFonts w:cstheme="minorHAnsi"/>
          <w:b/>
          <w:sz w:val="28"/>
        </w:rPr>
      </w:pPr>
    </w:p>
    <w:p w:rsidR="007353E9" w:rsidRDefault="007353E9" w:rsidP="007353E9">
      <w:pPr>
        <w:spacing w:after="0" w:line="240" w:lineRule="auto"/>
        <w:jc w:val="right"/>
        <w:rPr>
          <w:rFonts w:cstheme="minorHAnsi"/>
          <w:b/>
          <w:sz w:val="28"/>
        </w:rPr>
      </w:pPr>
    </w:p>
    <w:p w:rsidR="007353E9" w:rsidRDefault="007353E9" w:rsidP="007353E9">
      <w:pPr>
        <w:spacing w:after="0" w:line="240" w:lineRule="auto"/>
        <w:jc w:val="right"/>
        <w:rPr>
          <w:rFonts w:cstheme="minorHAnsi"/>
          <w:b/>
          <w:sz w:val="28"/>
        </w:rPr>
      </w:pPr>
    </w:p>
    <w:p w:rsidR="007353E9" w:rsidRPr="00A61E91" w:rsidRDefault="007353E9" w:rsidP="007353E9">
      <w:pPr>
        <w:spacing w:after="0" w:line="240" w:lineRule="auto"/>
        <w:jc w:val="right"/>
        <w:rPr>
          <w:rFonts w:cstheme="minorHAnsi"/>
          <w:b/>
          <w:sz w:val="28"/>
        </w:rPr>
      </w:pPr>
    </w:p>
    <w:p w:rsidR="007353E9" w:rsidRPr="00A61E91" w:rsidRDefault="00E712EC" w:rsidP="007353E9">
      <w:pPr>
        <w:spacing w:after="0" w:line="240" w:lineRule="auto"/>
        <w:jc w:val="right"/>
        <w:rPr>
          <w:rFonts w:cstheme="minorHAnsi"/>
          <w:b/>
          <w:sz w:val="28"/>
        </w:rPr>
      </w:pPr>
      <w:r>
        <w:rPr>
          <w:rFonts w:cstheme="minorHAnsi"/>
          <w:b/>
          <w:sz w:val="28"/>
        </w:rPr>
        <w:t>Clave de cartera: 09</w:t>
      </w:r>
      <w:r w:rsidR="007353E9" w:rsidRPr="00A61E91">
        <w:rPr>
          <w:rFonts w:cstheme="minorHAnsi"/>
          <w:b/>
          <w:sz w:val="28"/>
        </w:rPr>
        <w:t>09J3L0001</w:t>
      </w:r>
    </w:p>
    <w:p w:rsidR="007353E9" w:rsidRPr="00A61E91" w:rsidRDefault="007353E9" w:rsidP="007353E9">
      <w:pPr>
        <w:spacing w:after="0" w:line="240" w:lineRule="auto"/>
        <w:jc w:val="right"/>
        <w:rPr>
          <w:rFonts w:cstheme="minorHAnsi"/>
          <w:b/>
          <w:sz w:val="28"/>
        </w:rPr>
      </w:pPr>
      <w:r w:rsidRPr="00A61E91">
        <w:rPr>
          <w:rFonts w:cstheme="minorHAnsi"/>
          <w:b/>
          <w:sz w:val="28"/>
        </w:rPr>
        <w:t xml:space="preserve">Ramo al que pertenece: 09 </w:t>
      </w:r>
      <w:r>
        <w:rPr>
          <w:rFonts w:cstheme="minorHAnsi"/>
          <w:b/>
          <w:sz w:val="28"/>
        </w:rPr>
        <w:t xml:space="preserve">Sector </w:t>
      </w:r>
      <w:r w:rsidRPr="00A61E91">
        <w:rPr>
          <w:rFonts w:cstheme="minorHAnsi"/>
          <w:b/>
          <w:sz w:val="28"/>
        </w:rPr>
        <w:t>Comunicaciones y Transportes</w:t>
      </w:r>
    </w:p>
    <w:p w:rsidR="007353E9" w:rsidRPr="00A61E91" w:rsidRDefault="007353E9" w:rsidP="007353E9">
      <w:pPr>
        <w:spacing w:after="0" w:line="240" w:lineRule="auto"/>
        <w:jc w:val="right"/>
        <w:rPr>
          <w:rFonts w:cstheme="minorHAnsi"/>
          <w:b/>
          <w:sz w:val="28"/>
        </w:rPr>
      </w:pPr>
      <w:r w:rsidRPr="00A61E91">
        <w:rPr>
          <w:rFonts w:cstheme="minorHAnsi"/>
          <w:b/>
          <w:sz w:val="28"/>
        </w:rPr>
        <w:t>Unidad responsable: J3L Ferrocarril del Istmo de Tehuantepec S.A. de C.V.</w:t>
      </w:r>
    </w:p>
    <w:p w:rsidR="0075106D" w:rsidRDefault="0075106D" w:rsidP="00807B6C">
      <w:pPr>
        <w:jc w:val="both"/>
        <w:rPr>
          <w:b/>
        </w:rPr>
      </w:pPr>
    </w:p>
    <w:p w:rsidR="007353E9" w:rsidRDefault="007353E9" w:rsidP="00807B6C">
      <w:pPr>
        <w:jc w:val="both"/>
        <w:rPr>
          <w:b/>
        </w:rPr>
      </w:pPr>
    </w:p>
    <w:sdt>
      <w:sdtPr>
        <w:rPr>
          <w:rFonts w:asciiTheme="minorHAnsi" w:eastAsiaTheme="minorHAnsi" w:hAnsiTheme="minorHAnsi" w:cstheme="minorBidi"/>
          <w:color w:val="auto"/>
          <w:sz w:val="28"/>
          <w:szCs w:val="22"/>
          <w:lang w:val="es-ES" w:eastAsia="en-US"/>
        </w:rPr>
        <w:id w:val="1274371291"/>
        <w:docPartObj>
          <w:docPartGallery w:val="Table of Contents"/>
          <w:docPartUnique/>
        </w:docPartObj>
      </w:sdtPr>
      <w:sdtEndPr>
        <w:rPr>
          <w:b/>
          <w:bCs/>
          <w:sz w:val="20"/>
        </w:rPr>
      </w:sdtEndPr>
      <w:sdtContent>
        <w:p w:rsidR="005C6A73" w:rsidRPr="005C6A73" w:rsidRDefault="005C6A73">
          <w:pPr>
            <w:pStyle w:val="TtulodeTDC"/>
            <w:rPr>
              <w:b/>
              <w:color w:val="auto"/>
              <w:sz w:val="24"/>
            </w:rPr>
          </w:pPr>
          <w:r w:rsidRPr="005C6A73">
            <w:rPr>
              <w:b/>
              <w:color w:val="auto"/>
              <w:sz w:val="24"/>
              <w:lang w:val="es-ES"/>
            </w:rPr>
            <w:t>Índice</w:t>
          </w:r>
        </w:p>
        <w:p w:rsidR="001700FE" w:rsidRDefault="005C6A73">
          <w:pPr>
            <w:pStyle w:val="TDC1"/>
            <w:tabs>
              <w:tab w:val="right" w:leader="dot" w:pos="9204"/>
            </w:tabs>
            <w:rPr>
              <w:rFonts w:cstheme="minorBidi"/>
              <w:noProof/>
            </w:rPr>
          </w:pPr>
          <w:r w:rsidRPr="005C6A73">
            <w:rPr>
              <w:sz w:val="18"/>
            </w:rPr>
            <w:fldChar w:fldCharType="begin"/>
          </w:r>
          <w:r w:rsidRPr="005C6A73">
            <w:rPr>
              <w:sz w:val="18"/>
            </w:rPr>
            <w:instrText xml:space="preserve"> TOC \o "1-3" \h \z \u </w:instrText>
          </w:r>
          <w:r w:rsidRPr="005C6A73">
            <w:rPr>
              <w:sz w:val="18"/>
            </w:rPr>
            <w:fldChar w:fldCharType="separate"/>
          </w:r>
          <w:hyperlink w:anchor="_Toc498519455" w:history="1">
            <w:r w:rsidR="001700FE" w:rsidRPr="004F70D0">
              <w:rPr>
                <w:rStyle w:val="Hipervnculo"/>
                <w:noProof/>
                <w:lang w:val="es-ES_tradnl"/>
              </w:rPr>
              <w:t>Definiciones</w:t>
            </w:r>
            <w:r w:rsidR="001700FE">
              <w:rPr>
                <w:noProof/>
                <w:webHidden/>
              </w:rPr>
              <w:tab/>
            </w:r>
            <w:r w:rsidR="001700FE">
              <w:rPr>
                <w:noProof/>
                <w:webHidden/>
              </w:rPr>
              <w:fldChar w:fldCharType="begin"/>
            </w:r>
            <w:r w:rsidR="001700FE">
              <w:rPr>
                <w:noProof/>
                <w:webHidden/>
              </w:rPr>
              <w:instrText xml:space="preserve"> PAGEREF _Toc498519455 \h </w:instrText>
            </w:r>
            <w:r w:rsidR="001700FE">
              <w:rPr>
                <w:noProof/>
                <w:webHidden/>
              </w:rPr>
            </w:r>
            <w:r w:rsidR="001700FE">
              <w:rPr>
                <w:noProof/>
                <w:webHidden/>
              </w:rPr>
              <w:fldChar w:fldCharType="separate"/>
            </w:r>
            <w:r w:rsidR="001700FE">
              <w:rPr>
                <w:noProof/>
                <w:webHidden/>
              </w:rPr>
              <w:t>4</w:t>
            </w:r>
            <w:r w:rsidR="001700FE">
              <w:rPr>
                <w:noProof/>
                <w:webHidden/>
              </w:rPr>
              <w:fldChar w:fldCharType="end"/>
            </w:r>
          </w:hyperlink>
        </w:p>
        <w:p w:rsidR="001700FE" w:rsidRDefault="001700FE">
          <w:pPr>
            <w:pStyle w:val="TDC1"/>
            <w:tabs>
              <w:tab w:val="right" w:leader="dot" w:pos="9204"/>
            </w:tabs>
            <w:rPr>
              <w:rFonts w:cstheme="minorBidi"/>
              <w:noProof/>
            </w:rPr>
          </w:pPr>
          <w:hyperlink w:anchor="_Toc498519456" w:history="1">
            <w:r w:rsidRPr="004F70D0">
              <w:rPr>
                <w:rStyle w:val="Hipervnculo"/>
                <w:noProof/>
                <w:lang w:val="es-ES_tradnl"/>
              </w:rPr>
              <w:t>Acrónimos</w:t>
            </w:r>
            <w:r>
              <w:rPr>
                <w:noProof/>
                <w:webHidden/>
              </w:rPr>
              <w:tab/>
            </w:r>
            <w:r>
              <w:rPr>
                <w:noProof/>
                <w:webHidden/>
              </w:rPr>
              <w:fldChar w:fldCharType="begin"/>
            </w:r>
            <w:r>
              <w:rPr>
                <w:noProof/>
                <w:webHidden/>
              </w:rPr>
              <w:instrText xml:space="preserve"> PAGEREF _Toc498519456 \h </w:instrText>
            </w:r>
            <w:r>
              <w:rPr>
                <w:noProof/>
                <w:webHidden/>
              </w:rPr>
            </w:r>
            <w:r>
              <w:rPr>
                <w:noProof/>
                <w:webHidden/>
              </w:rPr>
              <w:fldChar w:fldCharType="separate"/>
            </w:r>
            <w:r>
              <w:rPr>
                <w:noProof/>
                <w:webHidden/>
              </w:rPr>
              <w:t>6</w:t>
            </w:r>
            <w:r>
              <w:rPr>
                <w:noProof/>
                <w:webHidden/>
              </w:rPr>
              <w:fldChar w:fldCharType="end"/>
            </w:r>
          </w:hyperlink>
        </w:p>
        <w:p w:rsidR="001700FE" w:rsidRDefault="001700FE">
          <w:pPr>
            <w:pStyle w:val="TDC1"/>
            <w:tabs>
              <w:tab w:val="left" w:pos="440"/>
              <w:tab w:val="right" w:leader="dot" w:pos="9204"/>
            </w:tabs>
            <w:rPr>
              <w:rFonts w:cstheme="minorBidi"/>
              <w:noProof/>
            </w:rPr>
          </w:pPr>
          <w:hyperlink w:anchor="_Toc498519457" w:history="1">
            <w:r w:rsidRPr="004F70D0">
              <w:rPr>
                <w:rStyle w:val="Hipervnculo"/>
                <w:noProof/>
                <w:lang w:val="es-ES_tradnl"/>
              </w:rPr>
              <w:t>I.</w:t>
            </w:r>
            <w:r>
              <w:rPr>
                <w:rFonts w:cstheme="minorBidi"/>
                <w:noProof/>
              </w:rPr>
              <w:tab/>
            </w:r>
            <w:r w:rsidRPr="004F70D0">
              <w:rPr>
                <w:rStyle w:val="Hipervnculo"/>
                <w:noProof/>
                <w:lang w:val="es-ES_tradnl"/>
              </w:rPr>
              <w:t>Nombre del programa o proyecto de inversión registrado en la cartera.</w:t>
            </w:r>
            <w:r>
              <w:rPr>
                <w:noProof/>
                <w:webHidden/>
              </w:rPr>
              <w:tab/>
            </w:r>
            <w:r>
              <w:rPr>
                <w:noProof/>
                <w:webHidden/>
              </w:rPr>
              <w:fldChar w:fldCharType="begin"/>
            </w:r>
            <w:r>
              <w:rPr>
                <w:noProof/>
                <w:webHidden/>
              </w:rPr>
              <w:instrText xml:space="preserve"> PAGEREF _Toc498519457 \h </w:instrText>
            </w:r>
            <w:r>
              <w:rPr>
                <w:noProof/>
                <w:webHidden/>
              </w:rPr>
            </w:r>
            <w:r>
              <w:rPr>
                <w:noProof/>
                <w:webHidden/>
              </w:rPr>
              <w:fldChar w:fldCharType="separate"/>
            </w:r>
            <w:r>
              <w:rPr>
                <w:noProof/>
                <w:webHidden/>
              </w:rPr>
              <w:t>7</w:t>
            </w:r>
            <w:r>
              <w:rPr>
                <w:noProof/>
                <w:webHidden/>
              </w:rPr>
              <w:fldChar w:fldCharType="end"/>
            </w:r>
          </w:hyperlink>
        </w:p>
        <w:p w:rsidR="001700FE" w:rsidRDefault="001700FE">
          <w:pPr>
            <w:pStyle w:val="TDC1"/>
            <w:tabs>
              <w:tab w:val="left" w:pos="440"/>
              <w:tab w:val="right" w:leader="dot" w:pos="9204"/>
            </w:tabs>
            <w:rPr>
              <w:rFonts w:cstheme="minorBidi"/>
              <w:noProof/>
            </w:rPr>
          </w:pPr>
          <w:hyperlink w:anchor="_Toc498519458" w:history="1">
            <w:r w:rsidRPr="004F70D0">
              <w:rPr>
                <w:rStyle w:val="Hipervnculo"/>
                <w:noProof/>
                <w:lang w:val="es-ES_tradnl"/>
              </w:rPr>
              <w:t>II.</w:t>
            </w:r>
            <w:r>
              <w:rPr>
                <w:rFonts w:cstheme="minorBidi"/>
                <w:noProof/>
              </w:rPr>
              <w:tab/>
            </w:r>
            <w:r w:rsidRPr="004F70D0">
              <w:rPr>
                <w:rStyle w:val="Hipervnculo"/>
                <w:noProof/>
                <w:lang w:val="es-ES_tradnl"/>
              </w:rPr>
              <w:t>Clave de cartera.</w:t>
            </w:r>
            <w:r>
              <w:rPr>
                <w:noProof/>
                <w:webHidden/>
              </w:rPr>
              <w:tab/>
            </w:r>
            <w:r>
              <w:rPr>
                <w:noProof/>
                <w:webHidden/>
              </w:rPr>
              <w:fldChar w:fldCharType="begin"/>
            </w:r>
            <w:r>
              <w:rPr>
                <w:noProof/>
                <w:webHidden/>
              </w:rPr>
              <w:instrText xml:space="preserve"> PAGEREF _Toc498519458 \h </w:instrText>
            </w:r>
            <w:r>
              <w:rPr>
                <w:noProof/>
                <w:webHidden/>
              </w:rPr>
            </w:r>
            <w:r>
              <w:rPr>
                <w:noProof/>
                <w:webHidden/>
              </w:rPr>
              <w:fldChar w:fldCharType="separate"/>
            </w:r>
            <w:r>
              <w:rPr>
                <w:noProof/>
                <w:webHidden/>
              </w:rPr>
              <w:t>7</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59" w:history="1">
            <w:r w:rsidRPr="004F70D0">
              <w:rPr>
                <w:rStyle w:val="Hipervnculo"/>
                <w:noProof/>
                <w:lang w:val="es-ES_tradnl"/>
              </w:rPr>
              <w:t>III.</w:t>
            </w:r>
            <w:r>
              <w:rPr>
                <w:rFonts w:cstheme="minorBidi"/>
                <w:noProof/>
              </w:rPr>
              <w:tab/>
            </w:r>
            <w:r w:rsidRPr="004F70D0">
              <w:rPr>
                <w:rStyle w:val="Hipervnculo"/>
                <w:noProof/>
                <w:lang w:val="es-ES_tradnl"/>
              </w:rPr>
              <w:t>Ramo al que pertenece el programa o proyecto de inversión.</w:t>
            </w:r>
            <w:r>
              <w:rPr>
                <w:noProof/>
                <w:webHidden/>
              </w:rPr>
              <w:tab/>
            </w:r>
            <w:r>
              <w:rPr>
                <w:noProof/>
                <w:webHidden/>
              </w:rPr>
              <w:fldChar w:fldCharType="begin"/>
            </w:r>
            <w:r>
              <w:rPr>
                <w:noProof/>
                <w:webHidden/>
              </w:rPr>
              <w:instrText xml:space="preserve"> PAGEREF _Toc498519459 \h </w:instrText>
            </w:r>
            <w:r>
              <w:rPr>
                <w:noProof/>
                <w:webHidden/>
              </w:rPr>
            </w:r>
            <w:r>
              <w:rPr>
                <w:noProof/>
                <w:webHidden/>
              </w:rPr>
              <w:fldChar w:fldCharType="separate"/>
            </w:r>
            <w:r>
              <w:rPr>
                <w:noProof/>
                <w:webHidden/>
              </w:rPr>
              <w:t>8</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60" w:history="1">
            <w:r w:rsidRPr="004F70D0">
              <w:rPr>
                <w:rStyle w:val="Hipervnculo"/>
                <w:noProof/>
                <w:lang w:val="es-ES_tradnl"/>
              </w:rPr>
              <w:t>IV.</w:t>
            </w:r>
            <w:r>
              <w:rPr>
                <w:rFonts w:cstheme="minorBidi"/>
                <w:noProof/>
              </w:rPr>
              <w:tab/>
            </w:r>
            <w:r w:rsidRPr="004F70D0">
              <w:rPr>
                <w:rStyle w:val="Hipervnculo"/>
                <w:noProof/>
                <w:lang w:val="es-ES_tradnl"/>
              </w:rPr>
              <w:t>Unidad responsable.</w:t>
            </w:r>
            <w:r>
              <w:rPr>
                <w:noProof/>
                <w:webHidden/>
              </w:rPr>
              <w:tab/>
            </w:r>
            <w:r>
              <w:rPr>
                <w:noProof/>
                <w:webHidden/>
              </w:rPr>
              <w:fldChar w:fldCharType="begin"/>
            </w:r>
            <w:r>
              <w:rPr>
                <w:noProof/>
                <w:webHidden/>
              </w:rPr>
              <w:instrText xml:space="preserve"> PAGEREF _Toc498519460 \h </w:instrText>
            </w:r>
            <w:r>
              <w:rPr>
                <w:noProof/>
                <w:webHidden/>
              </w:rPr>
            </w:r>
            <w:r>
              <w:rPr>
                <w:noProof/>
                <w:webHidden/>
              </w:rPr>
              <w:fldChar w:fldCharType="separate"/>
            </w:r>
            <w:r>
              <w:rPr>
                <w:noProof/>
                <w:webHidden/>
              </w:rPr>
              <w:t>8</w:t>
            </w:r>
            <w:r>
              <w:rPr>
                <w:noProof/>
                <w:webHidden/>
              </w:rPr>
              <w:fldChar w:fldCharType="end"/>
            </w:r>
          </w:hyperlink>
        </w:p>
        <w:p w:rsidR="001700FE" w:rsidRDefault="001700FE">
          <w:pPr>
            <w:pStyle w:val="TDC1"/>
            <w:tabs>
              <w:tab w:val="left" w:pos="440"/>
              <w:tab w:val="right" w:leader="dot" w:pos="9204"/>
            </w:tabs>
            <w:rPr>
              <w:rFonts w:cstheme="minorBidi"/>
              <w:noProof/>
            </w:rPr>
          </w:pPr>
          <w:hyperlink w:anchor="_Toc498519461" w:history="1">
            <w:r w:rsidRPr="004F70D0">
              <w:rPr>
                <w:rStyle w:val="Hipervnculo"/>
                <w:noProof/>
                <w:lang w:val="es-ES_tradnl"/>
              </w:rPr>
              <w:t>V.</w:t>
            </w:r>
            <w:r>
              <w:rPr>
                <w:rFonts w:cstheme="minorBidi"/>
                <w:noProof/>
              </w:rPr>
              <w:tab/>
            </w:r>
            <w:r w:rsidRPr="004F70D0">
              <w:rPr>
                <w:rStyle w:val="Hipervnculo"/>
                <w:noProof/>
                <w:lang w:val="es-ES_tradnl"/>
              </w:rPr>
              <w:t>Variación porcentual de cumplimiento de metas físicas.</w:t>
            </w:r>
            <w:r>
              <w:rPr>
                <w:noProof/>
                <w:webHidden/>
              </w:rPr>
              <w:tab/>
            </w:r>
            <w:r>
              <w:rPr>
                <w:noProof/>
                <w:webHidden/>
              </w:rPr>
              <w:fldChar w:fldCharType="begin"/>
            </w:r>
            <w:r>
              <w:rPr>
                <w:noProof/>
                <w:webHidden/>
              </w:rPr>
              <w:instrText xml:space="preserve"> PAGEREF _Toc498519461 \h </w:instrText>
            </w:r>
            <w:r>
              <w:rPr>
                <w:noProof/>
                <w:webHidden/>
              </w:rPr>
            </w:r>
            <w:r>
              <w:rPr>
                <w:noProof/>
                <w:webHidden/>
              </w:rPr>
              <w:fldChar w:fldCharType="separate"/>
            </w:r>
            <w:r>
              <w:rPr>
                <w:noProof/>
                <w:webHidden/>
              </w:rPr>
              <w:t>8</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62" w:history="1">
            <w:r w:rsidRPr="004F70D0">
              <w:rPr>
                <w:rStyle w:val="Hipervnculo"/>
                <w:noProof/>
                <w:lang w:val="es-ES_tradnl"/>
              </w:rPr>
              <w:t>VI.</w:t>
            </w:r>
            <w:r>
              <w:rPr>
                <w:rFonts w:cstheme="minorBidi"/>
                <w:noProof/>
              </w:rPr>
              <w:tab/>
            </w:r>
            <w:r w:rsidRPr="004F70D0">
              <w:rPr>
                <w:rStyle w:val="Hipervnculo"/>
                <w:noProof/>
                <w:lang w:val="es-ES_tradnl"/>
              </w:rPr>
              <w:t>Cuantificación de las metas físicas programadas.</w:t>
            </w:r>
            <w:r>
              <w:rPr>
                <w:noProof/>
                <w:webHidden/>
              </w:rPr>
              <w:tab/>
            </w:r>
            <w:r>
              <w:rPr>
                <w:noProof/>
                <w:webHidden/>
              </w:rPr>
              <w:fldChar w:fldCharType="begin"/>
            </w:r>
            <w:r>
              <w:rPr>
                <w:noProof/>
                <w:webHidden/>
              </w:rPr>
              <w:instrText xml:space="preserve"> PAGEREF _Toc498519462 \h </w:instrText>
            </w:r>
            <w:r>
              <w:rPr>
                <w:noProof/>
                <w:webHidden/>
              </w:rPr>
            </w:r>
            <w:r>
              <w:rPr>
                <w:noProof/>
                <w:webHidden/>
              </w:rPr>
              <w:fldChar w:fldCharType="separate"/>
            </w:r>
            <w:r>
              <w:rPr>
                <w:noProof/>
                <w:webHidden/>
              </w:rPr>
              <w:t>8</w:t>
            </w:r>
            <w:r>
              <w:rPr>
                <w:noProof/>
                <w:webHidden/>
              </w:rPr>
              <w:fldChar w:fldCharType="end"/>
            </w:r>
          </w:hyperlink>
        </w:p>
        <w:p w:rsidR="001700FE" w:rsidRDefault="001700FE">
          <w:pPr>
            <w:pStyle w:val="TDC3"/>
            <w:tabs>
              <w:tab w:val="right" w:leader="dot" w:pos="9204"/>
            </w:tabs>
            <w:rPr>
              <w:rFonts w:cstheme="minorBidi"/>
              <w:noProof/>
            </w:rPr>
          </w:pPr>
          <w:hyperlink w:anchor="_Toc498519463" w:history="1">
            <w:r w:rsidRPr="004F70D0">
              <w:rPr>
                <w:rStyle w:val="Hipervnculo"/>
                <w:noProof/>
              </w:rPr>
              <w:t>Tabla1. Metas físicas anuales y totales Ex Ante (pesos 2009).</w:t>
            </w:r>
            <w:r>
              <w:rPr>
                <w:noProof/>
                <w:webHidden/>
              </w:rPr>
              <w:tab/>
            </w:r>
            <w:r>
              <w:rPr>
                <w:noProof/>
                <w:webHidden/>
              </w:rPr>
              <w:fldChar w:fldCharType="begin"/>
            </w:r>
            <w:r>
              <w:rPr>
                <w:noProof/>
                <w:webHidden/>
              </w:rPr>
              <w:instrText xml:space="preserve"> PAGEREF _Toc498519463 \h </w:instrText>
            </w:r>
            <w:r>
              <w:rPr>
                <w:noProof/>
                <w:webHidden/>
              </w:rPr>
            </w:r>
            <w:r>
              <w:rPr>
                <w:noProof/>
                <w:webHidden/>
              </w:rPr>
              <w:fldChar w:fldCharType="separate"/>
            </w:r>
            <w:r>
              <w:rPr>
                <w:noProof/>
                <w:webHidden/>
              </w:rPr>
              <w:t>9</w:t>
            </w:r>
            <w:r>
              <w:rPr>
                <w:noProof/>
                <w:webHidden/>
              </w:rPr>
              <w:fldChar w:fldCharType="end"/>
            </w:r>
          </w:hyperlink>
        </w:p>
        <w:p w:rsidR="001700FE" w:rsidRDefault="001700FE">
          <w:pPr>
            <w:pStyle w:val="TDC3"/>
            <w:tabs>
              <w:tab w:val="right" w:leader="dot" w:pos="9204"/>
            </w:tabs>
            <w:rPr>
              <w:rFonts w:cstheme="minorBidi"/>
              <w:noProof/>
            </w:rPr>
          </w:pPr>
          <w:hyperlink w:anchor="_Toc498519464" w:history="1">
            <w:r w:rsidRPr="004F70D0">
              <w:rPr>
                <w:rStyle w:val="Hipervnculo"/>
                <w:noProof/>
              </w:rPr>
              <w:t>Tabla 2. Metas físicas anuales y totales Ex Ante (a precios de 2017).</w:t>
            </w:r>
            <w:r>
              <w:rPr>
                <w:noProof/>
                <w:webHidden/>
              </w:rPr>
              <w:tab/>
            </w:r>
            <w:r>
              <w:rPr>
                <w:noProof/>
                <w:webHidden/>
              </w:rPr>
              <w:fldChar w:fldCharType="begin"/>
            </w:r>
            <w:r>
              <w:rPr>
                <w:noProof/>
                <w:webHidden/>
              </w:rPr>
              <w:instrText xml:space="preserve"> PAGEREF _Toc498519464 \h </w:instrText>
            </w:r>
            <w:r>
              <w:rPr>
                <w:noProof/>
                <w:webHidden/>
              </w:rPr>
            </w:r>
            <w:r>
              <w:rPr>
                <w:noProof/>
                <w:webHidden/>
              </w:rPr>
              <w:fldChar w:fldCharType="separate"/>
            </w:r>
            <w:r>
              <w:rPr>
                <w:noProof/>
                <w:webHidden/>
              </w:rPr>
              <w:t>9</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65" w:history="1">
            <w:r w:rsidRPr="004F70D0">
              <w:rPr>
                <w:rStyle w:val="Hipervnculo"/>
                <w:noProof/>
                <w:lang w:val="es-ES_tradnl"/>
              </w:rPr>
              <w:t>VII.</w:t>
            </w:r>
            <w:r>
              <w:rPr>
                <w:rFonts w:cstheme="minorBidi"/>
                <w:noProof/>
              </w:rPr>
              <w:tab/>
            </w:r>
            <w:r w:rsidRPr="004F70D0">
              <w:rPr>
                <w:rStyle w:val="Hipervnculo"/>
                <w:noProof/>
                <w:lang w:val="es-ES_tradnl"/>
              </w:rPr>
              <w:t>Cuantificación de las Metas Físicas Alcanzadas.</w:t>
            </w:r>
            <w:r>
              <w:rPr>
                <w:noProof/>
                <w:webHidden/>
              </w:rPr>
              <w:tab/>
            </w:r>
            <w:r>
              <w:rPr>
                <w:noProof/>
                <w:webHidden/>
              </w:rPr>
              <w:fldChar w:fldCharType="begin"/>
            </w:r>
            <w:r>
              <w:rPr>
                <w:noProof/>
                <w:webHidden/>
              </w:rPr>
              <w:instrText xml:space="preserve"> PAGEREF _Toc498519465 \h </w:instrText>
            </w:r>
            <w:r>
              <w:rPr>
                <w:noProof/>
                <w:webHidden/>
              </w:rPr>
            </w:r>
            <w:r>
              <w:rPr>
                <w:noProof/>
                <w:webHidden/>
              </w:rPr>
              <w:fldChar w:fldCharType="separate"/>
            </w:r>
            <w:r>
              <w:rPr>
                <w:noProof/>
                <w:webHidden/>
              </w:rPr>
              <w:t>9</w:t>
            </w:r>
            <w:r>
              <w:rPr>
                <w:noProof/>
                <w:webHidden/>
              </w:rPr>
              <w:fldChar w:fldCharType="end"/>
            </w:r>
          </w:hyperlink>
        </w:p>
        <w:p w:rsidR="001700FE" w:rsidRDefault="001700FE">
          <w:pPr>
            <w:pStyle w:val="TDC3"/>
            <w:tabs>
              <w:tab w:val="right" w:leader="dot" w:pos="9204"/>
            </w:tabs>
            <w:rPr>
              <w:rFonts w:cstheme="minorBidi"/>
              <w:noProof/>
            </w:rPr>
          </w:pPr>
          <w:hyperlink w:anchor="_Toc498519466" w:history="1">
            <w:r w:rsidRPr="004F70D0">
              <w:rPr>
                <w:rStyle w:val="Hipervnculo"/>
                <w:noProof/>
              </w:rPr>
              <w:t>Tabla 3. Metas físicas anuales y totales Ex Post (a precios de 2005)</w:t>
            </w:r>
            <w:r>
              <w:rPr>
                <w:noProof/>
                <w:webHidden/>
              </w:rPr>
              <w:tab/>
            </w:r>
            <w:r>
              <w:rPr>
                <w:noProof/>
                <w:webHidden/>
              </w:rPr>
              <w:fldChar w:fldCharType="begin"/>
            </w:r>
            <w:r>
              <w:rPr>
                <w:noProof/>
                <w:webHidden/>
              </w:rPr>
              <w:instrText xml:space="preserve"> PAGEREF _Toc498519466 \h </w:instrText>
            </w:r>
            <w:r>
              <w:rPr>
                <w:noProof/>
                <w:webHidden/>
              </w:rPr>
            </w:r>
            <w:r>
              <w:rPr>
                <w:noProof/>
                <w:webHidden/>
              </w:rPr>
              <w:fldChar w:fldCharType="separate"/>
            </w:r>
            <w:r>
              <w:rPr>
                <w:noProof/>
                <w:webHidden/>
              </w:rPr>
              <w:t>10</w:t>
            </w:r>
            <w:r>
              <w:rPr>
                <w:noProof/>
                <w:webHidden/>
              </w:rPr>
              <w:fldChar w:fldCharType="end"/>
            </w:r>
          </w:hyperlink>
        </w:p>
        <w:p w:rsidR="001700FE" w:rsidRDefault="001700FE">
          <w:pPr>
            <w:pStyle w:val="TDC3"/>
            <w:tabs>
              <w:tab w:val="right" w:leader="dot" w:pos="9204"/>
            </w:tabs>
            <w:rPr>
              <w:rFonts w:cstheme="minorBidi"/>
              <w:noProof/>
            </w:rPr>
          </w:pPr>
          <w:hyperlink w:anchor="_Toc498519467" w:history="1">
            <w:r w:rsidRPr="004F70D0">
              <w:rPr>
                <w:rStyle w:val="Hipervnculo"/>
                <w:noProof/>
              </w:rPr>
              <w:t>Tabla 4. Metas físicas anuales y totales Ex Post (a precios de 2015)</w:t>
            </w:r>
            <w:r>
              <w:rPr>
                <w:noProof/>
                <w:webHidden/>
              </w:rPr>
              <w:tab/>
            </w:r>
            <w:r>
              <w:rPr>
                <w:noProof/>
                <w:webHidden/>
              </w:rPr>
              <w:fldChar w:fldCharType="begin"/>
            </w:r>
            <w:r>
              <w:rPr>
                <w:noProof/>
                <w:webHidden/>
              </w:rPr>
              <w:instrText xml:space="preserve"> PAGEREF _Toc498519467 \h </w:instrText>
            </w:r>
            <w:r>
              <w:rPr>
                <w:noProof/>
                <w:webHidden/>
              </w:rPr>
            </w:r>
            <w:r>
              <w:rPr>
                <w:noProof/>
                <w:webHidden/>
              </w:rPr>
              <w:fldChar w:fldCharType="separate"/>
            </w:r>
            <w:r>
              <w:rPr>
                <w:noProof/>
                <w:webHidden/>
              </w:rPr>
              <w:t>10</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68" w:history="1">
            <w:r w:rsidRPr="004F70D0">
              <w:rPr>
                <w:rStyle w:val="Hipervnculo"/>
                <w:noProof/>
                <w:lang w:val="es-ES_tradnl"/>
              </w:rPr>
              <w:t>VIII.</w:t>
            </w:r>
            <w:r>
              <w:rPr>
                <w:rFonts w:cstheme="minorBidi"/>
                <w:noProof/>
              </w:rPr>
              <w:tab/>
            </w:r>
            <w:r w:rsidRPr="004F70D0">
              <w:rPr>
                <w:rStyle w:val="Hipervnculo"/>
                <w:noProof/>
                <w:lang w:val="es-ES_tradnl"/>
              </w:rPr>
              <w:t>Justificación de la variación porcentual de cumplimiento de metas físicas.</w:t>
            </w:r>
            <w:r>
              <w:rPr>
                <w:noProof/>
                <w:webHidden/>
              </w:rPr>
              <w:tab/>
            </w:r>
            <w:r>
              <w:rPr>
                <w:noProof/>
                <w:webHidden/>
              </w:rPr>
              <w:fldChar w:fldCharType="begin"/>
            </w:r>
            <w:r>
              <w:rPr>
                <w:noProof/>
                <w:webHidden/>
              </w:rPr>
              <w:instrText xml:space="preserve"> PAGEREF _Toc498519468 \h </w:instrText>
            </w:r>
            <w:r>
              <w:rPr>
                <w:noProof/>
                <w:webHidden/>
              </w:rPr>
            </w:r>
            <w:r>
              <w:rPr>
                <w:noProof/>
                <w:webHidden/>
              </w:rPr>
              <w:fldChar w:fldCharType="separate"/>
            </w:r>
            <w:r>
              <w:rPr>
                <w:noProof/>
                <w:webHidden/>
              </w:rPr>
              <w:t>10</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69" w:history="1">
            <w:r w:rsidRPr="004F70D0">
              <w:rPr>
                <w:rStyle w:val="Hipervnculo"/>
                <w:noProof/>
                <w:lang w:val="es-ES_tradnl"/>
              </w:rPr>
              <w:t>IX.</w:t>
            </w:r>
            <w:r>
              <w:rPr>
                <w:rFonts w:cstheme="minorBidi"/>
                <w:noProof/>
              </w:rPr>
              <w:tab/>
            </w:r>
            <w:r w:rsidRPr="004F70D0">
              <w:rPr>
                <w:rStyle w:val="Hipervnculo"/>
                <w:noProof/>
                <w:lang w:val="es-ES_tradnl"/>
              </w:rPr>
              <w:t>Variación en el cumplimiento de inicio de ejecución.</w:t>
            </w:r>
            <w:r>
              <w:rPr>
                <w:noProof/>
                <w:webHidden/>
              </w:rPr>
              <w:tab/>
            </w:r>
            <w:r>
              <w:rPr>
                <w:noProof/>
                <w:webHidden/>
              </w:rPr>
              <w:fldChar w:fldCharType="begin"/>
            </w:r>
            <w:r>
              <w:rPr>
                <w:noProof/>
                <w:webHidden/>
              </w:rPr>
              <w:instrText xml:space="preserve"> PAGEREF _Toc498519469 \h </w:instrText>
            </w:r>
            <w:r>
              <w:rPr>
                <w:noProof/>
                <w:webHidden/>
              </w:rPr>
            </w:r>
            <w:r>
              <w:rPr>
                <w:noProof/>
                <w:webHidden/>
              </w:rPr>
              <w:fldChar w:fldCharType="separate"/>
            </w:r>
            <w:r>
              <w:rPr>
                <w:noProof/>
                <w:webHidden/>
              </w:rPr>
              <w:t>10</w:t>
            </w:r>
            <w:r>
              <w:rPr>
                <w:noProof/>
                <w:webHidden/>
              </w:rPr>
              <w:fldChar w:fldCharType="end"/>
            </w:r>
          </w:hyperlink>
        </w:p>
        <w:p w:rsidR="001700FE" w:rsidRDefault="001700FE">
          <w:pPr>
            <w:pStyle w:val="TDC1"/>
            <w:tabs>
              <w:tab w:val="left" w:pos="440"/>
              <w:tab w:val="right" w:leader="dot" w:pos="9204"/>
            </w:tabs>
            <w:rPr>
              <w:rFonts w:cstheme="minorBidi"/>
              <w:noProof/>
            </w:rPr>
          </w:pPr>
          <w:hyperlink w:anchor="_Toc498519470" w:history="1">
            <w:r w:rsidRPr="004F70D0">
              <w:rPr>
                <w:rStyle w:val="Hipervnculo"/>
                <w:noProof/>
                <w:lang w:val="es-ES_tradnl"/>
              </w:rPr>
              <w:t>X.</w:t>
            </w:r>
            <w:r>
              <w:rPr>
                <w:rFonts w:cstheme="minorBidi"/>
                <w:noProof/>
              </w:rPr>
              <w:tab/>
            </w:r>
            <w:r w:rsidRPr="004F70D0">
              <w:rPr>
                <w:rStyle w:val="Hipervnculo"/>
                <w:noProof/>
                <w:lang w:val="es-ES_tradnl"/>
              </w:rPr>
              <w:t>Fecha de inicio programada.</w:t>
            </w:r>
            <w:r>
              <w:rPr>
                <w:noProof/>
                <w:webHidden/>
              </w:rPr>
              <w:tab/>
            </w:r>
            <w:r>
              <w:rPr>
                <w:noProof/>
                <w:webHidden/>
              </w:rPr>
              <w:fldChar w:fldCharType="begin"/>
            </w:r>
            <w:r>
              <w:rPr>
                <w:noProof/>
                <w:webHidden/>
              </w:rPr>
              <w:instrText xml:space="preserve"> PAGEREF _Toc498519470 \h </w:instrText>
            </w:r>
            <w:r>
              <w:rPr>
                <w:noProof/>
                <w:webHidden/>
              </w:rPr>
            </w:r>
            <w:r>
              <w:rPr>
                <w:noProof/>
                <w:webHidden/>
              </w:rPr>
              <w:fldChar w:fldCharType="separate"/>
            </w:r>
            <w:r>
              <w:rPr>
                <w:noProof/>
                <w:webHidden/>
              </w:rPr>
              <w:t>10</w:t>
            </w:r>
            <w:r>
              <w:rPr>
                <w:noProof/>
                <w:webHidden/>
              </w:rPr>
              <w:fldChar w:fldCharType="end"/>
            </w:r>
          </w:hyperlink>
        </w:p>
        <w:p w:rsidR="001700FE" w:rsidRDefault="001700FE">
          <w:pPr>
            <w:pStyle w:val="TDC3"/>
            <w:tabs>
              <w:tab w:val="right" w:leader="dot" w:pos="9204"/>
            </w:tabs>
            <w:rPr>
              <w:rFonts w:cstheme="minorBidi"/>
              <w:noProof/>
            </w:rPr>
          </w:pPr>
          <w:hyperlink w:anchor="_Toc498519471" w:history="1">
            <w:r w:rsidRPr="004F70D0">
              <w:rPr>
                <w:rStyle w:val="Hipervnculo"/>
                <w:noProof/>
              </w:rPr>
              <w:t>Tabla 5. Calendario de actividades Ex Ante 2008.</w:t>
            </w:r>
            <w:r>
              <w:rPr>
                <w:noProof/>
                <w:webHidden/>
              </w:rPr>
              <w:tab/>
            </w:r>
            <w:r>
              <w:rPr>
                <w:noProof/>
                <w:webHidden/>
              </w:rPr>
              <w:fldChar w:fldCharType="begin"/>
            </w:r>
            <w:r>
              <w:rPr>
                <w:noProof/>
                <w:webHidden/>
              </w:rPr>
              <w:instrText xml:space="preserve"> PAGEREF _Toc498519471 \h </w:instrText>
            </w:r>
            <w:r>
              <w:rPr>
                <w:noProof/>
                <w:webHidden/>
              </w:rPr>
            </w:r>
            <w:r>
              <w:rPr>
                <w:noProof/>
                <w:webHidden/>
              </w:rPr>
              <w:fldChar w:fldCharType="separate"/>
            </w:r>
            <w:r>
              <w:rPr>
                <w:noProof/>
                <w:webHidden/>
              </w:rPr>
              <w:t>11</w:t>
            </w:r>
            <w:r>
              <w:rPr>
                <w:noProof/>
                <w:webHidden/>
              </w:rPr>
              <w:fldChar w:fldCharType="end"/>
            </w:r>
          </w:hyperlink>
        </w:p>
        <w:p w:rsidR="001700FE" w:rsidRDefault="001700FE">
          <w:pPr>
            <w:pStyle w:val="TDC3"/>
            <w:tabs>
              <w:tab w:val="right" w:leader="dot" w:pos="9204"/>
            </w:tabs>
            <w:rPr>
              <w:rFonts w:cstheme="minorBidi"/>
              <w:noProof/>
            </w:rPr>
          </w:pPr>
          <w:hyperlink w:anchor="_Toc498519472" w:history="1">
            <w:r w:rsidRPr="004F70D0">
              <w:rPr>
                <w:rStyle w:val="Hipervnculo"/>
                <w:noProof/>
              </w:rPr>
              <w:t>Tabla 6. Calendario de actividades Ex Ante 2009.</w:t>
            </w:r>
            <w:r>
              <w:rPr>
                <w:noProof/>
                <w:webHidden/>
              </w:rPr>
              <w:tab/>
            </w:r>
            <w:r>
              <w:rPr>
                <w:noProof/>
                <w:webHidden/>
              </w:rPr>
              <w:fldChar w:fldCharType="begin"/>
            </w:r>
            <w:r>
              <w:rPr>
                <w:noProof/>
                <w:webHidden/>
              </w:rPr>
              <w:instrText xml:space="preserve"> PAGEREF _Toc498519472 \h </w:instrText>
            </w:r>
            <w:r>
              <w:rPr>
                <w:noProof/>
                <w:webHidden/>
              </w:rPr>
            </w:r>
            <w:r>
              <w:rPr>
                <w:noProof/>
                <w:webHidden/>
              </w:rPr>
              <w:fldChar w:fldCharType="separate"/>
            </w:r>
            <w:r>
              <w:rPr>
                <w:noProof/>
                <w:webHidden/>
              </w:rPr>
              <w:t>11</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73" w:history="1">
            <w:r w:rsidRPr="004F70D0">
              <w:rPr>
                <w:rStyle w:val="Hipervnculo"/>
                <w:noProof/>
                <w:lang w:val="es-ES_tradnl"/>
              </w:rPr>
              <w:t>XI.</w:t>
            </w:r>
            <w:r>
              <w:rPr>
                <w:rFonts w:cstheme="minorBidi"/>
                <w:noProof/>
              </w:rPr>
              <w:tab/>
            </w:r>
            <w:r w:rsidRPr="004F70D0">
              <w:rPr>
                <w:rStyle w:val="Hipervnculo"/>
                <w:noProof/>
                <w:lang w:val="es-ES_tradnl"/>
              </w:rPr>
              <w:t>Fecha real de inicio de ejecución.</w:t>
            </w:r>
            <w:r>
              <w:rPr>
                <w:noProof/>
                <w:webHidden/>
              </w:rPr>
              <w:tab/>
            </w:r>
            <w:r>
              <w:rPr>
                <w:noProof/>
                <w:webHidden/>
              </w:rPr>
              <w:fldChar w:fldCharType="begin"/>
            </w:r>
            <w:r>
              <w:rPr>
                <w:noProof/>
                <w:webHidden/>
              </w:rPr>
              <w:instrText xml:space="preserve"> PAGEREF _Toc498519473 \h </w:instrText>
            </w:r>
            <w:r>
              <w:rPr>
                <w:noProof/>
                <w:webHidden/>
              </w:rPr>
            </w:r>
            <w:r>
              <w:rPr>
                <w:noProof/>
                <w:webHidden/>
              </w:rPr>
              <w:fldChar w:fldCharType="separate"/>
            </w:r>
            <w:r>
              <w:rPr>
                <w:noProof/>
                <w:webHidden/>
              </w:rPr>
              <w:t>11</w:t>
            </w:r>
            <w:r>
              <w:rPr>
                <w:noProof/>
                <w:webHidden/>
              </w:rPr>
              <w:fldChar w:fldCharType="end"/>
            </w:r>
          </w:hyperlink>
        </w:p>
        <w:p w:rsidR="001700FE" w:rsidRDefault="001700FE">
          <w:pPr>
            <w:pStyle w:val="TDC3"/>
            <w:tabs>
              <w:tab w:val="right" w:leader="dot" w:pos="9204"/>
            </w:tabs>
            <w:rPr>
              <w:rFonts w:cstheme="minorBidi"/>
              <w:noProof/>
            </w:rPr>
          </w:pPr>
          <w:hyperlink w:anchor="_Toc498519474" w:history="1">
            <w:r w:rsidRPr="004F70D0">
              <w:rPr>
                <w:rStyle w:val="Hipervnculo"/>
                <w:noProof/>
              </w:rPr>
              <w:t>Tabla7. Calendario de actividades Ex Post 2008.</w:t>
            </w:r>
            <w:r>
              <w:rPr>
                <w:noProof/>
                <w:webHidden/>
              </w:rPr>
              <w:tab/>
            </w:r>
            <w:r>
              <w:rPr>
                <w:noProof/>
                <w:webHidden/>
              </w:rPr>
              <w:fldChar w:fldCharType="begin"/>
            </w:r>
            <w:r>
              <w:rPr>
                <w:noProof/>
                <w:webHidden/>
              </w:rPr>
              <w:instrText xml:space="preserve"> PAGEREF _Toc498519474 \h </w:instrText>
            </w:r>
            <w:r>
              <w:rPr>
                <w:noProof/>
                <w:webHidden/>
              </w:rPr>
            </w:r>
            <w:r>
              <w:rPr>
                <w:noProof/>
                <w:webHidden/>
              </w:rPr>
              <w:fldChar w:fldCharType="separate"/>
            </w:r>
            <w:r>
              <w:rPr>
                <w:noProof/>
                <w:webHidden/>
              </w:rPr>
              <w:t>11</w:t>
            </w:r>
            <w:r>
              <w:rPr>
                <w:noProof/>
                <w:webHidden/>
              </w:rPr>
              <w:fldChar w:fldCharType="end"/>
            </w:r>
          </w:hyperlink>
        </w:p>
        <w:p w:rsidR="001700FE" w:rsidRDefault="001700FE">
          <w:pPr>
            <w:pStyle w:val="TDC3"/>
            <w:tabs>
              <w:tab w:val="right" w:leader="dot" w:pos="9204"/>
            </w:tabs>
            <w:rPr>
              <w:rFonts w:cstheme="minorBidi"/>
              <w:noProof/>
            </w:rPr>
          </w:pPr>
          <w:hyperlink w:anchor="_Toc498519475" w:history="1">
            <w:r w:rsidRPr="004F70D0">
              <w:rPr>
                <w:rStyle w:val="Hipervnculo"/>
                <w:noProof/>
              </w:rPr>
              <w:t>Tabla 8. Calendario de actividades Ex Post 2009.</w:t>
            </w:r>
            <w:r>
              <w:rPr>
                <w:noProof/>
                <w:webHidden/>
              </w:rPr>
              <w:tab/>
            </w:r>
            <w:r>
              <w:rPr>
                <w:noProof/>
                <w:webHidden/>
              </w:rPr>
              <w:fldChar w:fldCharType="begin"/>
            </w:r>
            <w:r>
              <w:rPr>
                <w:noProof/>
                <w:webHidden/>
              </w:rPr>
              <w:instrText xml:space="preserve"> PAGEREF _Toc498519475 \h </w:instrText>
            </w:r>
            <w:r>
              <w:rPr>
                <w:noProof/>
                <w:webHidden/>
              </w:rPr>
            </w:r>
            <w:r>
              <w:rPr>
                <w:noProof/>
                <w:webHidden/>
              </w:rPr>
              <w:fldChar w:fldCharType="separate"/>
            </w:r>
            <w:r>
              <w:rPr>
                <w:noProof/>
                <w:webHidden/>
              </w:rPr>
              <w:t>12</w:t>
            </w:r>
            <w:r>
              <w:rPr>
                <w:noProof/>
                <w:webHidden/>
              </w:rPr>
              <w:fldChar w:fldCharType="end"/>
            </w:r>
          </w:hyperlink>
        </w:p>
        <w:p w:rsidR="001700FE" w:rsidRDefault="001700FE">
          <w:pPr>
            <w:pStyle w:val="TDC3"/>
            <w:tabs>
              <w:tab w:val="right" w:leader="dot" w:pos="9204"/>
            </w:tabs>
            <w:rPr>
              <w:rFonts w:cstheme="minorBidi"/>
              <w:noProof/>
            </w:rPr>
          </w:pPr>
          <w:hyperlink w:anchor="_Toc498519476" w:history="1">
            <w:r w:rsidRPr="004F70D0">
              <w:rPr>
                <w:rStyle w:val="Hipervnculo"/>
                <w:noProof/>
              </w:rPr>
              <w:t>Tabla 9. Calendario de actividades Ex Post 2010.</w:t>
            </w:r>
            <w:r>
              <w:rPr>
                <w:noProof/>
                <w:webHidden/>
              </w:rPr>
              <w:tab/>
            </w:r>
            <w:r>
              <w:rPr>
                <w:noProof/>
                <w:webHidden/>
              </w:rPr>
              <w:fldChar w:fldCharType="begin"/>
            </w:r>
            <w:r>
              <w:rPr>
                <w:noProof/>
                <w:webHidden/>
              </w:rPr>
              <w:instrText xml:space="preserve"> PAGEREF _Toc498519476 \h </w:instrText>
            </w:r>
            <w:r>
              <w:rPr>
                <w:noProof/>
                <w:webHidden/>
              </w:rPr>
            </w:r>
            <w:r>
              <w:rPr>
                <w:noProof/>
                <w:webHidden/>
              </w:rPr>
              <w:fldChar w:fldCharType="separate"/>
            </w:r>
            <w:r>
              <w:rPr>
                <w:noProof/>
                <w:webHidden/>
              </w:rPr>
              <w:t>12</w:t>
            </w:r>
            <w:r>
              <w:rPr>
                <w:noProof/>
                <w:webHidden/>
              </w:rPr>
              <w:fldChar w:fldCharType="end"/>
            </w:r>
          </w:hyperlink>
        </w:p>
        <w:p w:rsidR="001700FE" w:rsidRDefault="001700FE">
          <w:pPr>
            <w:pStyle w:val="TDC3"/>
            <w:tabs>
              <w:tab w:val="right" w:leader="dot" w:pos="9204"/>
            </w:tabs>
            <w:rPr>
              <w:rFonts w:cstheme="minorBidi"/>
              <w:noProof/>
            </w:rPr>
          </w:pPr>
          <w:hyperlink w:anchor="_Toc498519477" w:history="1">
            <w:r w:rsidRPr="004F70D0">
              <w:rPr>
                <w:rStyle w:val="Hipervnculo"/>
                <w:noProof/>
              </w:rPr>
              <w:t>Tabla 10. Calendario de actividades Ex Post 2011.</w:t>
            </w:r>
            <w:r>
              <w:rPr>
                <w:noProof/>
                <w:webHidden/>
              </w:rPr>
              <w:tab/>
            </w:r>
            <w:r>
              <w:rPr>
                <w:noProof/>
                <w:webHidden/>
              </w:rPr>
              <w:fldChar w:fldCharType="begin"/>
            </w:r>
            <w:r>
              <w:rPr>
                <w:noProof/>
                <w:webHidden/>
              </w:rPr>
              <w:instrText xml:space="preserve"> PAGEREF _Toc498519477 \h </w:instrText>
            </w:r>
            <w:r>
              <w:rPr>
                <w:noProof/>
                <w:webHidden/>
              </w:rPr>
            </w:r>
            <w:r>
              <w:rPr>
                <w:noProof/>
                <w:webHidden/>
              </w:rPr>
              <w:fldChar w:fldCharType="separate"/>
            </w:r>
            <w:r>
              <w:rPr>
                <w:noProof/>
                <w:webHidden/>
              </w:rPr>
              <w:t>12</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78" w:history="1">
            <w:r w:rsidRPr="004F70D0">
              <w:rPr>
                <w:rStyle w:val="Hipervnculo"/>
                <w:noProof/>
                <w:lang w:val="es-ES_tradnl"/>
              </w:rPr>
              <w:t>XII.</w:t>
            </w:r>
            <w:r>
              <w:rPr>
                <w:rFonts w:cstheme="minorBidi"/>
                <w:noProof/>
              </w:rPr>
              <w:tab/>
            </w:r>
            <w:r w:rsidRPr="004F70D0">
              <w:rPr>
                <w:rStyle w:val="Hipervnculo"/>
                <w:noProof/>
                <w:lang w:val="es-ES_tradnl"/>
              </w:rPr>
              <w:t>La justificación de la variación en el cumplimento de inicio de ejecución.</w:t>
            </w:r>
            <w:r>
              <w:rPr>
                <w:noProof/>
                <w:webHidden/>
              </w:rPr>
              <w:tab/>
            </w:r>
            <w:r>
              <w:rPr>
                <w:noProof/>
                <w:webHidden/>
              </w:rPr>
              <w:fldChar w:fldCharType="begin"/>
            </w:r>
            <w:r>
              <w:rPr>
                <w:noProof/>
                <w:webHidden/>
              </w:rPr>
              <w:instrText xml:space="preserve"> PAGEREF _Toc498519478 \h </w:instrText>
            </w:r>
            <w:r>
              <w:rPr>
                <w:noProof/>
                <w:webHidden/>
              </w:rPr>
            </w:r>
            <w:r>
              <w:rPr>
                <w:noProof/>
                <w:webHidden/>
              </w:rPr>
              <w:fldChar w:fldCharType="separate"/>
            </w:r>
            <w:r>
              <w:rPr>
                <w:noProof/>
                <w:webHidden/>
              </w:rPr>
              <w:t>13</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79" w:history="1">
            <w:r w:rsidRPr="004F70D0">
              <w:rPr>
                <w:rStyle w:val="Hipervnculo"/>
                <w:noProof/>
                <w:lang w:val="es-ES_tradnl"/>
              </w:rPr>
              <w:t>XIII.</w:t>
            </w:r>
            <w:r>
              <w:rPr>
                <w:rFonts w:cstheme="minorBidi"/>
                <w:noProof/>
              </w:rPr>
              <w:tab/>
            </w:r>
            <w:r w:rsidRPr="004F70D0">
              <w:rPr>
                <w:rStyle w:val="Hipervnculo"/>
                <w:noProof/>
                <w:lang w:val="es-ES_tradnl"/>
              </w:rPr>
              <w:t>Variación porcentual en el cumplimiento de plazo de ejecución.</w:t>
            </w:r>
            <w:r>
              <w:rPr>
                <w:noProof/>
                <w:webHidden/>
              </w:rPr>
              <w:tab/>
            </w:r>
            <w:r>
              <w:rPr>
                <w:noProof/>
                <w:webHidden/>
              </w:rPr>
              <w:fldChar w:fldCharType="begin"/>
            </w:r>
            <w:r>
              <w:rPr>
                <w:noProof/>
                <w:webHidden/>
              </w:rPr>
              <w:instrText xml:space="preserve"> PAGEREF _Toc498519479 \h </w:instrText>
            </w:r>
            <w:r>
              <w:rPr>
                <w:noProof/>
                <w:webHidden/>
              </w:rPr>
            </w:r>
            <w:r>
              <w:rPr>
                <w:noProof/>
                <w:webHidden/>
              </w:rPr>
              <w:fldChar w:fldCharType="separate"/>
            </w:r>
            <w:r>
              <w:rPr>
                <w:noProof/>
                <w:webHidden/>
              </w:rPr>
              <w:t>13</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80" w:history="1">
            <w:r w:rsidRPr="004F70D0">
              <w:rPr>
                <w:rStyle w:val="Hipervnculo"/>
                <w:noProof/>
                <w:lang w:val="es-ES_tradnl"/>
              </w:rPr>
              <w:t>XIV.</w:t>
            </w:r>
            <w:r>
              <w:rPr>
                <w:rFonts w:cstheme="minorBidi"/>
                <w:noProof/>
              </w:rPr>
              <w:tab/>
            </w:r>
            <w:r w:rsidRPr="004F70D0">
              <w:rPr>
                <w:rStyle w:val="Hipervnculo"/>
                <w:noProof/>
                <w:lang w:val="es-ES_tradnl"/>
              </w:rPr>
              <w:t>Fecha final de ejecución programada.</w:t>
            </w:r>
            <w:r>
              <w:rPr>
                <w:noProof/>
                <w:webHidden/>
              </w:rPr>
              <w:tab/>
            </w:r>
            <w:r>
              <w:rPr>
                <w:noProof/>
                <w:webHidden/>
              </w:rPr>
              <w:fldChar w:fldCharType="begin"/>
            </w:r>
            <w:r>
              <w:rPr>
                <w:noProof/>
                <w:webHidden/>
              </w:rPr>
              <w:instrText xml:space="preserve"> PAGEREF _Toc498519480 \h </w:instrText>
            </w:r>
            <w:r>
              <w:rPr>
                <w:noProof/>
                <w:webHidden/>
              </w:rPr>
            </w:r>
            <w:r>
              <w:rPr>
                <w:noProof/>
                <w:webHidden/>
              </w:rPr>
              <w:fldChar w:fldCharType="separate"/>
            </w:r>
            <w:r>
              <w:rPr>
                <w:noProof/>
                <w:webHidden/>
              </w:rPr>
              <w:t>13</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81" w:history="1">
            <w:r w:rsidRPr="004F70D0">
              <w:rPr>
                <w:rStyle w:val="Hipervnculo"/>
                <w:noProof/>
                <w:lang w:val="es-ES_tradnl"/>
              </w:rPr>
              <w:t>XV.</w:t>
            </w:r>
            <w:r>
              <w:rPr>
                <w:rFonts w:cstheme="minorBidi"/>
                <w:noProof/>
              </w:rPr>
              <w:tab/>
            </w:r>
            <w:r w:rsidRPr="004F70D0">
              <w:rPr>
                <w:rStyle w:val="Hipervnculo"/>
                <w:noProof/>
                <w:lang w:val="es-ES_tradnl"/>
              </w:rPr>
              <w:t>Fecha final de ejecución real.</w:t>
            </w:r>
            <w:r>
              <w:rPr>
                <w:noProof/>
                <w:webHidden/>
              </w:rPr>
              <w:tab/>
            </w:r>
            <w:r>
              <w:rPr>
                <w:noProof/>
                <w:webHidden/>
              </w:rPr>
              <w:fldChar w:fldCharType="begin"/>
            </w:r>
            <w:r>
              <w:rPr>
                <w:noProof/>
                <w:webHidden/>
              </w:rPr>
              <w:instrText xml:space="preserve"> PAGEREF _Toc498519481 \h </w:instrText>
            </w:r>
            <w:r>
              <w:rPr>
                <w:noProof/>
                <w:webHidden/>
              </w:rPr>
            </w:r>
            <w:r>
              <w:rPr>
                <w:noProof/>
                <w:webHidden/>
              </w:rPr>
              <w:fldChar w:fldCharType="separate"/>
            </w:r>
            <w:r>
              <w:rPr>
                <w:noProof/>
                <w:webHidden/>
              </w:rPr>
              <w:t>13</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82" w:history="1">
            <w:r w:rsidRPr="004F70D0">
              <w:rPr>
                <w:rStyle w:val="Hipervnculo"/>
                <w:noProof/>
                <w:lang w:val="es-ES_tradnl"/>
              </w:rPr>
              <w:t>XVI.</w:t>
            </w:r>
            <w:r>
              <w:rPr>
                <w:rFonts w:cstheme="minorBidi"/>
                <w:noProof/>
              </w:rPr>
              <w:tab/>
            </w:r>
            <w:r w:rsidRPr="004F70D0">
              <w:rPr>
                <w:rStyle w:val="Hipervnculo"/>
                <w:noProof/>
                <w:lang w:val="es-ES_tradnl"/>
              </w:rPr>
              <w:t>La justificación de la variación porcentual en el cumplimiento del plazo de ejecución.</w:t>
            </w:r>
            <w:r>
              <w:rPr>
                <w:noProof/>
                <w:webHidden/>
              </w:rPr>
              <w:tab/>
            </w:r>
            <w:r>
              <w:rPr>
                <w:noProof/>
                <w:webHidden/>
              </w:rPr>
              <w:fldChar w:fldCharType="begin"/>
            </w:r>
            <w:r>
              <w:rPr>
                <w:noProof/>
                <w:webHidden/>
              </w:rPr>
              <w:instrText xml:space="preserve"> PAGEREF _Toc498519482 \h </w:instrText>
            </w:r>
            <w:r>
              <w:rPr>
                <w:noProof/>
                <w:webHidden/>
              </w:rPr>
            </w:r>
            <w:r>
              <w:rPr>
                <w:noProof/>
                <w:webHidden/>
              </w:rPr>
              <w:fldChar w:fldCharType="separate"/>
            </w:r>
            <w:r>
              <w:rPr>
                <w:noProof/>
                <w:webHidden/>
              </w:rPr>
              <w:t>14</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83" w:history="1">
            <w:r w:rsidRPr="004F70D0">
              <w:rPr>
                <w:rStyle w:val="Hipervnculo"/>
                <w:noProof/>
                <w:lang w:val="es-ES_tradnl"/>
              </w:rPr>
              <w:t>XVII.</w:t>
            </w:r>
            <w:r>
              <w:rPr>
                <w:rFonts w:cstheme="minorBidi"/>
                <w:noProof/>
              </w:rPr>
              <w:tab/>
            </w:r>
            <w:r w:rsidRPr="004F70D0">
              <w:rPr>
                <w:rStyle w:val="Hipervnculo"/>
                <w:noProof/>
                <w:lang w:val="es-ES_tradnl"/>
              </w:rPr>
              <w:t>Variación porcentual en el cumplimiento de los costos de inversión.</w:t>
            </w:r>
            <w:r>
              <w:rPr>
                <w:noProof/>
                <w:webHidden/>
              </w:rPr>
              <w:tab/>
            </w:r>
            <w:r>
              <w:rPr>
                <w:noProof/>
                <w:webHidden/>
              </w:rPr>
              <w:fldChar w:fldCharType="begin"/>
            </w:r>
            <w:r>
              <w:rPr>
                <w:noProof/>
                <w:webHidden/>
              </w:rPr>
              <w:instrText xml:space="preserve"> PAGEREF _Toc498519483 \h </w:instrText>
            </w:r>
            <w:r>
              <w:rPr>
                <w:noProof/>
                <w:webHidden/>
              </w:rPr>
            </w:r>
            <w:r>
              <w:rPr>
                <w:noProof/>
                <w:webHidden/>
              </w:rPr>
              <w:fldChar w:fldCharType="separate"/>
            </w:r>
            <w:r>
              <w:rPr>
                <w:noProof/>
                <w:webHidden/>
              </w:rPr>
              <w:t>14</w:t>
            </w:r>
            <w:r>
              <w:rPr>
                <w:noProof/>
                <w:webHidden/>
              </w:rPr>
              <w:fldChar w:fldCharType="end"/>
            </w:r>
          </w:hyperlink>
        </w:p>
        <w:p w:rsidR="001700FE" w:rsidRDefault="001700FE">
          <w:pPr>
            <w:pStyle w:val="TDC1"/>
            <w:tabs>
              <w:tab w:val="left" w:pos="880"/>
              <w:tab w:val="right" w:leader="dot" w:pos="9204"/>
            </w:tabs>
            <w:rPr>
              <w:rFonts w:cstheme="minorBidi"/>
              <w:noProof/>
            </w:rPr>
          </w:pPr>
          <w:hyperlink w:anchor="_Toc498519484" w:history="1">
            <w:r w:rsidRPr="004F70D0">
              <w:rPr>
                <w:rStyle w:val="Hipervnculo"/>
                <w:noProof/>
                <w:lang w:val="es-ES_tradnl"/>
              </w:rPr>
              <w:t>XVIII.</w:t>
            </w:r>
            <w:r>
              <w:rPr>
                <w:rFonts w:cstheme="minorBidi"/>
                <w:noProof/>
              </w:rPr>
              <w:tab/>
            </w:r>
            <w:r w:rsidRPr="004F70D0">
              <w:rPr>
                <w:rStyle w:val="Hipervnculo"/>
                <w:noProof/>
                <w:lang w:val="es-ES_tradnl"/>
              </w:rPr>
              <w:t>Monto total de inversión registrado en cartera.</w:t>
            </w:r>
            <w:r>
              <w:rPr>
                <w:noProof/>
                <w:webHidden/>
              </w:rPr>
              <w:tab/>
            </w:r>
            <w:r>
              <w:rPr>
                <w:noProof/>
                <w:webHidden/>
              </w:rPr>
              <w:fldChar w:fldCharType="begin"/>
            </w:r>
            <w:r>
              <w:rPr>
                <w:noProof/>
                <w:webHidden/>
              </w:rPr>
              <w:instrText xml:space="preserve"> PAGEREF _Toc498519484 \h </w:instrText>
            </w:r>
            <w:r>
              <w:rPr>
                <w:noProof/>
                <w:webHidden/>
              </w:rPr>
            </w:r>
            <w:r>
              <w:rPr>
                <w:noProof/>
                <w:webHidden/>
              </w:rPr>
              <w:fldChar w:fldCharType="separate"/>
            </w:r>
            <w:r>
              <w:rPr>
                <w:noProof/>
                <w:webHidden/>
              </w:rPr>
              <w:t>15</w:t>
            </w:r>
            <w:r>
              <w:rPr>
                <w:noProof/>
                <w:webHidden/>
              </w:rPr>
              <w:fldChar w:fldCharType="end"/>
            </w:r>
          </w:hyperlink>
        </w:p>
        <w:p w:rsidR="001700FE" w:rsidRDefault="001700FE">
          <w:pPr>
            <w:pStyle w:val="TDC3"/>
            <w:tabs>
              <w:tab w:val="right" w:leader="dot" w:pos="9204"/>
            </w:tabs>
            <w:rPr>
              <w:rFonts w:cstheme="minorBidi"/>
              <w:noProof/>
            </w:rPr>
          </w:pPr>
          <w:hyperlink w:anchor="_Toc498519485" w:history="1">
            <w:r w:rsidRPr="004F70D0">
              <w:rPr>
                <w:rStyle w:val="Hipervnculo"/>
                <w:noProof/>
              </w:rPr>
              <w:t>Tabla 11. Inversión Total Ex Ante (a precios de 2009).</w:t>
            </w:r>
            <w:r>
              <w:rPr>
                <w:noProof/>
                <w:webHidden/>
              </w:rPr>
              <w:tab/>
            </w:r>
            <w:r>
              <w:rPr>
                <w:noProof/>
                <w:webHidden/>
              </w:rPr>
              <w:fldChar w:fldCharType="begin"/>
            </w:r>
            <w:r>
              <w:rPr>
                <w:noProof/>
                <w:webHidden/>
              </w:rPr>
              <w:instrText xml:space="preserve"> PAGEREF _Toc498519485 \h </w:instrText>
            </w:r>
            <w:r>
              <w:rPr>
                <w:noProof/>
                <w:webHidden/>
              </w:rPr>
            </w:r>
            <w:r>
              <w:rPr>
                <w:noProof/>
                <w:webHidden/>
              </w:rPr>
              <w:fldChar w:fldCharType="separate"/>
            </w:r>
            <w:r>
              <w:rPr>
                <w:noProof/>
                <w:webHidden/>
              </w:rPr>
              <w:t>15</w:t>
            </w:r>
            <w:r>
              <w:rPr>
                <w:noProof/>
                <w:webHidden/>
              </w:rPr>
              <w:fldChar w:fldCharType="end"/>
            </w:r>
          </w:hyperlink>
        </w:p>
        <w:p w:rsidR="001700FE" w:rsidRDefault="001700FE">
          <w:pPr>
            <w:pStyle w:val="TDC3"/>
            <w:tabs>
              <w:tab w:val="right" w:leader="dot" w:pos="9204"/>
            </w:tabs>
            <w:rPr>
              <w:rFonts w:cstheme="minorBidi"/>
              <w:noProof/>
            </w:rPr>
          </w:pPr>
          <w:hyperlink w:anchor="_Toc498519486" w:history="1">
            <w:r w:rsidRPr="004F70D0">
              <w:rPr>
                <w:rStyle w:val="Hipervnculo"/>
                <w:noProof/>
              </w:rPr>
              <w:t>Tabla 12. Inversión Total Ex Ante (a precios de 2017).</w:t>
            </w:r>
            <w:r>
              <w:rPr>
                <w:noProof/>
                <w:webHidden/>
              </w:rPr>
              <w:tab/>
            </w:r>
            <w:r>
              <w:rPr>
                <w:noProof/>
                <w:webHidden/>
              </w:rPr>
              <w:fldChar w:fldCharType="begin"/>
            </w:r>
            <w:r>
              <w:rPr>
                <w:noProof/>
                <w:webHidden/>
              </w:rPr>
              <w:instrText xml:space="preserve"> PAGEREF _Toc498519486 \h </w:instrText>
            </w:r>
            <w:r>
              <w:rPr>
                <w:noProof/>
                <w:webHidden/>
              </w:rPr>
            </w:r>
            <w:r>
              <w:rPr>
                <w:noProof/>
                <w:webHidden/>
              </w:rPr>
              <w:fldChar w:fldCharType="separate"/>
            </w:r>
            <w:r>
              <w:rPr>
                <w:noProof/>
                <w:webHidden/>
              </w:rPr>
              <w:t>16</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87" w:history="1">
            <w:r w:rsidRPr="004F70D0">
              <w:rPr>
                <w:rStyle w:val="Hipervnculo"/>
                <w:noProof/>
                <w:lang w:val="es-ES_tradnl"/>
              </w:rPr>
              <w:t>XIX.</w:t>
            </w:r>
            <w:r>
              <w:rPr>
                <w:rFonts w:cstheme="minorBidi"/>
                <w:noProof/>
              </w:rPr>
              <w:tab/>
            </w:r>
            <w:r w:rsidRPr="004F70D0">
              <w:rPr>
                <w:rStyle w:val="Hipervnculo"/>
                <w:noProof/>
                <w:lang w:val="es-ES_tradnl"/>
              </w:rPr>
              <w:t>Monto Total de inversión ejercido real.</w:t>
            </w:r>
            <w:r>
              <w:rPr>
                <w:noProof/>
                <w:webHidden/>
              </w:rPr>
              <w:tab/>
            </w:r>
            <w:r>
              <w:rPr>
                <w:noProof/>
                <w:webHidden/>
              </w:rPr>
              <w:fldChar w:fldCharType="begin"/>
            </w:r>
            <w:r>
              <w:rPr>
                <w:noProof/>
                <w:webHidden/>
              </w:rPr>
              <w:instrText xml:space="preserve"> PAGEREF _Toc498519487 \h </w:instrText>
            </w:r>
            <w:r>
              <w:rPr>
                <w:noProof/>
                <w:webHidden/>
              </w:rPr>
            </w:r>
            <w:r>
              <w:rPr>
                <w:noProof/>
                <w:webHidden/>
              </w:rPr>
              <w:fldChar w:fldCharType="separate"/>
            </w:r>
            <w:r>
              <w:rPr>
                <w:noProof/>
                <w:webHidden/>
              </w:rPr>
              <w:t>17</w:t>
            </w:r>
            <w:r>
              <w:rPr>
                <w:noProof/>
                <w:webHidden/>
              </w:rPr>
              <w:fldChar w:fldCharType="end"/>
            </w:r>
          </w:hyperlink>
        </w:p>
        <w:p w:rsidR="001700FE" w:rsidRDefault="001700FE">
          <w:pPr>
            <w:pStyle w:val="TDC3"/>
            <w:tabs>
              <w:tab w:val="right" w:leader="dot" w:pos="9204"/>
            </w:tabs>
            <w:rPr>
              <w:rFonts w:cstheme="minorBidi"/>
              <w:noProof/>
            </w:rPr>
          </w:pPr>
          <w:hyperlink w:anchor="_Toc498519488" w:history="1">
            <w:r w:rsidRPr="004F70D0">
              <w:rPr>
                <w:rStyle w:val="Hipervnculo"/>
                <w:noProof/>
              </w:rPr>
              <w:t>Tabla13. Inversión Total Ex Post (a precios de 2008).</w:t>
            </w:r>
            <w:r>
              <w:rPr>
                <w:noProof/>
                <w:webHidden/>
              </w:rPr>
              <w:tab/>
            </w:r>
            <w:r>
              <w:rPr>
                <w:noProof/>
                <w:webHidden/>
              </w:rPr>
              <w:fldChar w:fldCharType="begin"/>
            </w:r>
            <w:r>
              <w:rPr>
                <w:noProof/>
                <w:webHidden/>
              </w:rPr>
              <w:instrText xml:space="preserve"> PAGEREF _Toc498519488 \h </w:instrText>
            </w:r>
            <w:r>
              <w:rPr>
                <w:noProof/>
                <w:webHidden/>
              </w:rPr>
            </w:r>
            <w:r>
              <w:rPr>
                <w:noProof/>
                <w:webHidden/>
              </w:rPr>
              <w:fldChar w:fldCharType="separate"/>
            </w:r>
            <w:r>
              <w:rPr>
                <w:noProof/>
                <w:webHidden/>
              </w:rPr>
              <w:t>17</w:t>
            </w:r>
            <w:r>
              <w:rPr>
                <w:noProof/>
                <w:webHidden/>
              </w:rPr>
              <w:fldChar w:fldCharType="end"/>
            </w:r>
          </w:hyperlink>
        </w:p>
        <w:p w:rsidR="001700FE" w:rsidRDefault="001700FE">
          <w:pPr>
            <w:pStyle w:val="TDC3"/>
            <w:tabs>
              <w:tab w:val="right" w:leader="dot" w:pos="9204"/>
            </w:tabs>
            <w:rPr>
              <w:rFonts w:cstheme="minorBidi"/>
              <w:noProof/>
            </w:rPr>
          </w:pPr>
          <w:hyperlink w:anchor="_Toc498519489" w:history="1">
            <w:r w:rsidRPr="004F70D0">
              <w:rPr>
                <w:rStyle w:val="Hipervnculo"/>
                <w:noProof/>
              </w:rPr>
              <w:t>Tabla 14. Inversión Total Ex Post (a precios de 2017).</w:t>
            </w:r>
            <w:r>
              <w:rPr>
                <w:noProof/>
                <w:webHidden/>
              </w:rPr>
              <w:tab/>
            </w:r>
            <w:r>
              <w:rPr>
                <w:noProof/>
                <w:webHidden/>
              </w:rPr>
              <w:fldChar w:fldCharType="begin"/>
            </w:r>
            <w:r>
              <w:rPr>
                <w:noProof/>
                <w:webHidden/>
              </w:rPr>
              <w:instrText xml:space="preserve"> PAGEREF _Toc498519489 \h </w:instrText>
            </w:r>
            <w:r>
              <w:rPr>
                <w:noProof/>
                <w:webHidden/>
              </w:rPr>
            </w:r>
            <w:r>
              <w:rPr>
                <w:noProof/>
                <w:webHidden/>
              </w:rPr>
              <w:fldChar w:fldCharType="separate"/>
            </w:r>
            <w:r>
              <w:rPr>
                <w:noProof/>
                <w:webHidden/>
              </w:rPr>
              <w:t>18</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90" w:history="1">
            <w:r w:rsidRPr="004F70D0">
              <w:rPr>
                <w:rStyle w:val="Hipervnculo"/>
                <w:noProof/>
                <w:lang w:val="es-ES_tradnl"/>
              </w:rPr>
              <w:t>XX.</w:t>
            </w:r>
            <w:r>
              <w:rPr>
                <w:rFonts w:cstheme="minorBidi"/>
                <w:noProof/>
              </w:rPr>
              <w:tab/>
            </w:r>
            <w:r w:rsidRPr="004F70D0">
              <w:rPr>
                <w:rStyle w:val="Hipervnculo"/>
                <w:noProof/>
                <w:lang w:val="es-ES_tradnl"/>
              </w:rPr>
              <w:t>Justificación de la variación del monto de inversión.</w:t>
            </w:r>
            <w:r>
              <w:rPr>
                <w:noProof/>
                <w:webHidden/>
              </w:rPr>
              <w:tab/>
            </w:r>
            <w:r>
              <w:rPr>
                <w:noProof/>
                <w:webHidden/>
              </w:rPr>
              <w:fldChar w:fldCharType="begin"/>
            </w:r>
            <w:r>
              <w:rPr>
                <w:noProof/>
                <w:webHidden/>
              </w:rPr>
              <w:instrText xml:space="preserve"> PAGEREF _Toc498519490 \h </w:instrText>
            </w:r>
            <w:r>
              <w:rPr>
                <w:noProof/>
                <w:webHidden/>
              </w:rPr>
            </w:r>
            <w:r>
              <w:rPr>
                <w:noProof/>
                <w:webHidden/>
              </w:rPr>
              <w:fldChar w:fldCharType="separate"/>
            </w:r>
            <w:r>
              <w:rPr>
                <w:noProof/>
                <w:webHidden/>
              </w:rPr>
              <w:t>18</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91" w:history="1">
            <w:r w:rsidRPr="004F70D0">
              <w:rPr>
                <w:rStyle w:val="Hipervnculo"/>
                <w:noProof/>
                <w:lang w:val="es-ES_tradnl"/>
              </w:rPr>
              <w:t>XXI.</w:t>
            </w:r>
            <w:r>
              <w:rPr>
                <w:rFonts w:cstheme="minorBidi"/>
                <w:noProof/>
              </w:rPr>
              <w:tab/>
            </w:r>
            <w:r w:rsidRPr="004F70D0">
              <w:rPr>
                <w:rStyle w:val="Hipervnculo"/>
                <w:noProof/>
                <w:lang w:val="es-ES_tradnl"/>
              </w:rPr>
              <w:t>Montos anuales de gastos de operación y mantenimiento.</w:t>
            </w:r>
            <w:r>
              <w:rPr>
                <w:noProof/>
                <w:webHidden/>
              </w:rPr>
              <w:tab/>
            </w:r>
            <w:r>
              <w:rPr>
                <w:noProof/>
                <w:webHidden/>
              </w:rPr>
              <w:fldChar w:fldCharType="begin"/>
            </w:r>
            <w:r>
              <w:rPr>
                <w:noProof/>
                <w:webHidden/>
              </w:rPr>
              <w:instrText xml:space="preserve"> PAGEREF _Toc498519491 \h </w:instrText>
            </w:r>
            <w:r>
              <w:rPr>
                <w:noProof/>
                <w:webHidden/>
              </w:rPr>
            </w:r>
            <w:r>
              <w:rPr>
                <w:noProof/>
                <w:webHidden/>
              </w:rPr>
              <w:fldChar w:fldCharType="separate"/>
            </w:r>
            <w:r>
              <w:rPr>
                <w:noProof/>
                <w:webHidden/>
              </w:rPr>
              <w:t>18</w:t>
            </w:r>
            <w:r>
              <w:rPr>
                <w:noProof/>
                <w:webHidden/>
              </w:rPr>
              <w:fldChar w:fldCharType="end"/>
            </w:r>
          </w:hyperlink>
        </w:p>
        <w:p w:rsidR="001700FE" w:rsidRDefault="001700FE">
          <w:pPr>
            <w:pStyle w:val="TDC2"/>
            <w:tabs>
              <w:tab w:val="right" w:leader="dot" w:pos="9204"/>
            </w:tabs>
            <w:rPr>
              <w:rFonts w:cstheme="minorBidi"/>
              <w:noProof/>
            </w:rPr>
          </w:pPr>
          <w:hyperlink w:anchor="_Toc498519492" w:history="1">
            <w:r w:rsidRPr="004F70D0">
              <w:rPr>
                <w:rStyle w:val="Hipervnculo"/>
                <w:rFonts w:cstheme="minorHAnsi"/>
                <w:b/>
                <w:noProof/>
              </w:rPr>
              <w:t>a) Costos de operación.</w:t>
            </w:r>
            <w:r>
              <w:rPr>
                <w:noProof/>
                <w:webHidden/>
              </w:rPr>
              <w:tab/>
            </w:r>
            <w:r>
              <w:rPr>
                <w:noProof/>
                <w:webHidden/>
              </w:rPr>
              <w:fldChar w:fldCharType="begin"/>
            </w:r>
            <w:r>
              <w:rPr>
                <w:noProof/>
                <w:webHidden/>
              </w:rPr>
              <w:instrText xml:space="preserve"> PAGEREF _Toc498519492 \h </w:instrText>
            </w:r>
            <w:r>
              <w:rPr>
                <w:noProof/>
                <w:webHidden/>
              </w:rPr>
            </w:r>
            <w:r>
              <w:rPr>
                <w:noProof/>
                <w:webHidden/>
              </w:rPr>
              <w:fldChar w:fldCharType="separate"/>
            </w:r>
            <w:r>
              <w:rPr>
                <w:noProof/>
                <w:webHidden/>
              </w:rPr>
              <w:t>18</w:t>
            </w:r>
            <w:r>
              <w:rPr>
                <w:noProof/>
                <w:webHidden/>
              </w:rPr>
              <w:fldChar w:fldCharType="end"/>
            </w:r>
          </w:hyperlink>
        </w:p>
        <w:p w:rsidR="001700FE" w:rsidRDefault="001700FE">
          <w:pPr>
            <w:pStyle w:val="TDC3"/>
            <w:tabs>
              <w:tab w:val="right" w:leader="dot" w:pos="9204"/>
            </w:tabs>
            <w:rPr>
              <w:rFonts w:cstheme="minorBidi"/>
              <w:noProof/>
            </w:rPr>
          </w:pPr>
          <w:hyperlink w:anchor="_Toc498519493" w:history="1">
            <w:r w:rsidRPr="004F70D0">
              <w:rPr>
                <w:rStyle w:val="Hipervnculo"/>
                <w:noProof/>
              </w:rPr>
              <w:t>Tabla 15. Gastos de operación Ex Post (a precios de 2017).</w:t>
            </w:r>
            <w:r>
              <w:rPr>
                <w:noProof/>
                <w:webHidden/>
              </w:rPr>
              <w:tab/>
            </w:r>
            <w:r>
              <w:rPr>
                <w:noProof/>
                <w:webHidden/>
              </w:rPr>
              <w:fldChar w:fldCharType="begin"/>
            </w:r>
            <w:r>
              <w:rPr>
                <w:noProof/>
                <w:webHidden/>
              </w:rPr>
              <w:instrText xml:space="preserve"> PAGEREF _Toc498519493 \h </w:instrText>
            </w:r>
            <w:r>
              <w:rPr>
                <w:noProof/>
                <w:webHidden/>
              </w:rPr>
            </w:r>
            <w:r>
              <w:rPr>
                <w:noProof/>
                <w:webHidden/>
              </w:rPr>
              <w:fldChar w:fldCharType="separate"/>
            </w:r>
            <w:r>
              <w:rPr>
                <w:noProof/>
                <w:webHidden/>
              </w:rPr>
              <w:t>19</w:t>
            </w:r>
            <w:r>
              <w:rPr>
                <w:noProof/>
                <w:webHidden/>
              </w:rPr>
              <w:fldChar w:fldCharType="end"/>
            </w:r>
          </w:hyperlink>
        </w:p>
        <w:p w:rsidR="001700FE" w:rsidRDefault="001700FE">
          <w:pPr>
            <w:pStyle w:val="TDC2"/>
            <w:tabs>
              <w:tab w:val="right" w:leader="dot" w:pos="9204"/>
            </w:tabs>
            <w:rPr>
              <w:rFonts w:cstheme="minorBidi"/>
              <w:noProof/>
            </w:rPr>
          </w:pPr>
          <w:hyperlink w:anchor="_Toc498519494" w:history="1">
            <w:r w:rsidRPr="004F70D0">
              <w:rPr>
                <w:rStyle w:val="Hipervnculo"/>
                <w:rFonts w:cstheme="minorHAnsi"/>
                <w:b/>
                <w:noProof/>
              </w:rPr>
              <w:t>b) Costos de mantenimiento.</w:t>
            </w:r>
            <w:r>
              <w:rPr>
                <w:noProof/>
                <w:webHidden/>
              </w:rPr>
              <w:tab/>
            </w:r>
            <w:r>
              <w:rPr>
                <w:noProof/>
                <w:webHidden/>
              </w:rPr>
              <w:fldChar w:fldCharType="begin"/>
            </w:r>
            <w:r>
              <w:rPr>
                <w:noProof/>
                <w:webHidden/>
              </w:rPr>
              <w:instrText xml:space="preserve"> PAGEREF _Toc498519494 \h </w:instrText>
            </w:r>
            <w:r>
              <w:rPr>
                <w:noProof/>
                <w:webHidden/>
              </w:rPr>
            </w:r>
            <w:r>
              <w:rPr>
                <w:noProof/>
                <w:webHidden/>
              </w:rPr>
              <w:fldChar w:fldCharType="separate"/>
            </w:r>
            <w:r>
              <w:rPr>
                <w:noProof/>
                <w:webHidden/>
              </w:rPr>
              <w:t>19</w:t>
            </w:r>
            <w:r>
              <w:rPr>
                <w:noProof/>
                <w:webHidden/>
              </w:rPr>
              <w:fldChar w:fldCharType="end"/>
            </w:r>
          </w:hyperlink>
        </w:p>
        <w:p w:rsidR="001700FE" w:rsidRDefault="001700FE">
          <w:pPr>
            <w:pStyle w:val="TDC3"/>
            <w:tabs>
              <w:tab w:val="right" w:leader="dot" w:pos="9204"/>
            </w:tabs>
            <w:rPr>
              <w:rFonts w:cstheme="minorBidi"/>
              <w:noProof/>
            </w:rPr>
          </w:pPr>
          <w:hyperlink w:anchor="_Toc498519495" w:history="1">
            <w:r w:rsidRPr="004F70D0">
              <w:rPr>
                <w:rStyle w:val="Hipervnculo"/>
                <w:noProof/>
              </w:rPr>
              <w:t>Tabla 16. Gastos de mantenimiento Ex Post (a precios de 2017).</w:t>
            </w:r>
            <w:r>
              <w:rPr>
                <w:noProof/>
                <w:webHidden/>
              </w:rPr>
              <w:tab/>
            </w:r>
            <w:r>
              <w:rPr>
                <w:noProof/>
                <w:webHidden/>
              </w:rPr>
              <w:fldChar w:fldCharType="begin"/>
            </w:r>
            <w:r>
              <w:rPr>
                <w:noProof/>
                <w:webHidden/>
              </w:rPr>
              <w:instrText xml:space="preserve"> PAGEREF _Toc498519495 \h </w:instrText>
            </w:r>
            <w:r>
              <w:rPr>
                <w:noProof/>
                <w:webHidden/>
              </w:rPr>
            </w:r>
            <w:r>
              <w:rPr>
                <w:noProof/>
                <w:webHidden/>
              </w:rPr>
              <w:fldChar w:fldCharType="separate"/>
            </w:r>
            <w:r>
              <w:rPr>
                <w:noProof/>
                <w:webHidden/>
              </w:rPr>
              <w:t>19</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496" w:history="1">
            <w:r w:rsidRPr="004F70D0">
              <w:rPr>
                <w:rStyle w:val="Hipervnculo"/>
                <w:noProof/>
                <w:lang w:val="es-ES_tradnl"/>
              </w:rPr>
              <w:t>XXII.</w:t>
            </w:r>
            <w:r>
              <w:rPr>
                <w:rFonts w:cstheme="minorBidi"/>
                <w:noProof/>
              </w:rPr>
              <w:tab/>
            </w:r>
            <w:r w:rsidRPr="004F70D0">
              <w:rPr>
                <w:rStyle w:val="Hipervnculo"/>
                <w:noProof/>
                <w:lang w:val="es-ES_tradnl"/>
              </w:rPr>
              <w:t>Costos socioeconómicos.</w:t>
            </w:r>
            <w:r>
              <w:rPr>
                <w:noProof/>
                <w:webHidden/>
              </w:rPr>
              <w:tab/>
            </w:r>
            <w:r>
              <w:rPr>
                <w:noProof/>
                <w:webHidden/>
              </w:rPr>
              <w:fldChar w:fldCharType="begin"/>
            </w:r>
            <w:r>
              <w:rPr>
                <w:noProof/>
                <w:webHidden/>
              </w:rPr>
              <w:instrText xml:space="preserve"> PAGEREF _Toc498519496 \h </w:instrText>
            </w:r>
            <w:r>
              <w:rPr>
                <w:noProof/>
                <w:webHidden/>
              </w:rPr>
            </w:r>
            <w:r>
              <w:rPr>
                <w:noProof/>
                <w:webHidden/>
              </w:rPr>
              <w:fldChar w:fldCharType="separate"/>
            </w:r>
            <w:r>
              <w:rPr>
                <w:noProof/>
                <w:webHidden/>
              </w:rPr>
              <w:t>19</w:t>
            </w:r>
            <w:r>
              <w:rPr>
                <w:noProof/>
                <w:webHidden/>
              </w:rPr>
              <w:fldChar w:fldCharType="end"/>
            </w:r>
          </w:hyperlink>
        </w:p>
        <w:p w:rsidR="001700FE" w:rsidRDefault="001700FE">
          <w:pPr>
            <w:pStyle w:val="TDC2"/>
            <w:tabs>
              <w:tab w:val="right" w:leader="dot" w:pos="9204"/>
            </w:tabs>
            <w:rPr>
              <w:rFonts w:cstheme="minorBidi"/>
              <w:noProof/>
            </w:rPr>
          </w:pPr>
          <w:hyperlink w:anchor="_Toc498519497" w:history="1">
            <w:r w:rsidRPr="004F70D0">
              <w:rPr>
                <w:rStyle w:val="Hipervnculo"/>
                <w:rFonts w:cstheme="minorHAnsi"/>
                <w:b/>
                <w:noProof/>
              </w:rPr>
              <w:t>a) Costos de adquisición de materiales de vía.</w:t>
            </w:r>
            <w:r>
              <w:rPr>
                <w:noProof/>
                <w:webHidden/>
              </w:rPr>
              <w:tab/>
            </w:r>
            <w:r>
              <w:rPr>
                <w:noProof/>
                <w:webHidden/>
              </w:rPr>
              <w:fldChar w:fldCharType="begin"/>
            </w:r>
            <w:r>
              <w:rPr>
                <w:noProof/>
                <w:webHidden/>
              </w:rPr>
              <w:instrText xml:space="preserve"> PAGEREF _Toc498519497 \h </w:instrText>
            </w:r>
            <w:r>
              <w:rPr>
                <w:noProof/>
                <w:webHidden/>
              </w:rPr>
            </w:r>
            <w:r>
              <w:rPr>
                <w:noProof/>
                <w:webHidden/>
              </w:rPr>
              <w:fldChar w:fldCharType="separate"/>
            </w:r>
            <w:r>
              <w:rPr>
                <w:noProof/>
                <w:webHidden/>
              </w:rPr>
              <w:t>20</w:t>
            </w:r>
            <w:r>
              <w:rPr>
                <w:noProof/>
                <w:webHidden/>
              </w:rPr>
              <w:fldChar w:fldCharType="end"/>
            </w:r>
          </w:hyperlink>
        </w:p>
        <w:p w:rsidR="001700FE" w:rsidRDefault="001700FE">
          <w:pPr>
            <w:pStyle w:val="TDC2"/>
            <w:tabs>
              <w:tab w:val="right" w:leader="dot" w:pos="9204"/>
            </w:tabs>
            <w:rPr>
              <w:rFonts w:cstheme="minorBidi"/>
              <w:noProof/>
            </w:rPr>
          </w:pPr>
          <w:hyperlink w:anchor="_Toc498519498" w:history="1">
            <w:r w:rsidRPr="004F70D0">
              <w:rPr>
                <w:rStyle w:val="Hipervnculo"/>
                <w:rFonts w:cstheme="minorHAnsi"/>
                <w:b/>
                <w:noProof/>
              </w:rPr>
              <w:t>b) Costos de adquisición de derechos de vía.</w:t>
            </w:r>
            <w:r>
              <w:rPr>
                <w:noProof/>
                <w:webHidden/>
              </w:rPr>
              <w:tab/>
            </w:r>
            <w:r>
              <w:rPr>
                <w:noProof/>
                <w:webHidden/>
              </w:rPr>
              <w:fldChar w:fldCharType="begin"/>
            </w:r>
            <w:r>
              <w:rPr>
                <w:noProof/>
                <w:webHidden/>
              </w:rPr>
              <w:instrText xml:space="preserve"> PAGEREF _Toc498519498 \h </w:instrText>
            </w:r>
            <w:r>
              <w:rPr>
                <w:noProof/>
                <w:webHidden/>
              </w:rPr>
            </w:r>
            <w:r>
              <w:rPr>
                <w:noProof/>
                <w:webHidden/>
              </w:rPr>
              <w:fldChar w:fldCharType="separate"/>
            </w:r>
            <w:r>
              <w:rPr>
                <w:noProof/>
                <w:webHidden/>
              </w:rPr>
              <w:t>20</w:t>
            </w:r>
            <w:r>
              <w:rPr>
                <w:noProof/>
                <w:webHidden/>
              </w:rPr>
              <w:fldChar w:fldCharType="end"/>
            </w:r>
          </w:hyperlink>
        </w:p>
        <w:p w:rsidR="001700FE" w:rsidRDefault="001700FE">
          <w:pPr>
            <w:pStyle w:val="TDC2"/>
            <w:tabs>
              <w:tab w:val="right" w:leader="dot" w:pos="9204"/>
            </w:tabs>
            <w:rPr>
              <w:rFonts w:cstheme="minorBidi"/>
              <w:noProof/>
            </w:rPr>
          </w:pPr>
          <w:hyperlink w:anchor="_Toc498519499" w:history="1">
            <w:r w:rsidRPr="004F70D0">
              <w:rPr>
                <w:rStyle w:val="Hipervnculo"/>
                <w:rFonts w:cstheme="minorHAnsi"/>
                <w:b/>
                <w:noProof/>
              </w:rPr>
              <w:t>c) Costos por levantamiento de vías y pavimentación en los cruces con vialidades.</w:t>
            </w:r>
            <w:r>
              <w:rPr>
                <w:noProof/>
                <w:webHidden/>
              </w:rPr>
              <w:tab/>
            </w:r>
            <w:r>
              <w:rPr>
                <w:noProof/>
                <w:webHidden/>
              </w:rPr>
              <w:fldChar w:fldCharType="begin"/>
            </w:r>
            <w:r>
              <w:rPr>
                <w:noProof/>
                <w:webHidden/>
              </w:rPr>
              <w:instrText xml:space="preserve"> PAGEREF _Toc498519499 \h </w:instrText>
            </w:r>
            <w:r>
              <w:rPr>
                <w:noProof/>
                <w:webHidden/>
              </w:rPr>
            </w:r>
            <w:r>
              <w:rPr>
                <w:noProof/>
                <w:webHidden/>
              </w:rPr>
              <w:fldChar w:fldCharType="separate"/>
            </w:r>
            <w:r>
              <w:rPr>
                <w:noProof/>
                <w:webHidden/>
              </w:rPr>
              <w:t>20</w:t>
            </w:r>
            <w:r>
              <w:rPr>
                <w:noProof/>
                <w:webHidden/>
              </w:rPr>
              <w:fldChar w:fldCharType="end"/>
            </w:r>
          </w:hyperlink>
        </w:p>
        <w:p w:rsidR="001700FE" w:rsidRDefault="001700FE">
          <w:pPr>
            <w:pStyle w:val="TDC1"/>
            <w:tabs>
              <w:tab w:val="left" w:pos="880"/>
              <w:tab w:val="right" w:leader="dot" w:pos="9204"/>
            </w:tabs>
            <w:rPr>
              <w:rFonts w:cstheme="minorBidi"/>
              <w:noProof/>
            </w:rPr>
          </w:pPr>
          <w:hyperlink w:anchor="_Toc498519500" w:history="1">
            <w:r w:rsidRPr="004F70D0">
              <w:rPr>
                <w:rStyle w:val="Hipervnculo"/>
                <w:noProof/>
                <w:lang w:val="es-ES_tradnl"/>
              </w:rPr>
              <w:t>XXIII.</w:t>
            </w:r>
            <w:r>
              <w:rPr>
                <w:rFonts w:cstheme="minorBidi"/>
                <w:noProof/>
              </w:rPr>
              <w:tab/>
            </w:r>
            <w:r w:rsidRPr="004F70D0">
              <w:rPr>
                <w:rStyle w:val="Hipervnculo"/>
                <w:noProof/>
                <w:lang w:val="es-ES_tradnl"/>
              </w:rPr>
              <w:t>Beneficios socioeconómicos.</w:t>
            </w:r>
            <w:r>
              <w:rPr>
                <w:noProof/>
                <w:webHidden/>
              </w:rPr>
              <w:tab/>
            </w:r>
            <w:r>
              <w:rPr>
                <w:noProof/>
                <w:webHidden/>
              </w:rPr>
              <w:fldChar w:fldCharType="begin"/>
            </w:r>
            <w:r>
              <w:rPr>
                <w:noProof/>
                <w:webHidden/>
              </w:rPr>
              <w:instrText xml:space="preserve"> PAGEREF _Toc498519500 \h </w:instrText>
            </w:r>
            <w:r>
              <w:rPr>
                <w:noProof/>
                <w:webHidden/>
              </w:rPr>
            </w:r>
            <w:r>
              <w:rPr>
                <w:noProof/>
                <w:webHidden/>
              </w:rPr>
              <w:fldChar w:fldCharType="separate"/>
            </w:r>
            <w:r>
              <w:rPr>
                <w:noProof/>
                <w:webHidden/>
              </w:rPr>
              <w:t>20</w:t>
            </w:r>
            <w:r>
              <w:rPr>
                <w:noProof/>
                <w:webHidden/>
              </w:rPr>
              <w:fldChar w:fldCharType="end"/>
            </w:r>
          </w:hyperlink>
        </w:p>
        <w:p w:rsidR="001700FE" w:rsidRDefault="001700FE">
          <w:pPr>
            <w:pStyle w:val="TDC2"/>
            <w:tabs>
              <w:tab w:val="right" w:leader="dot" w:pos="9204"/>
            </w:tabs>
            <w:rPr>
              <w:rFonts w:cstheme="minorBidi"/>
              <w:noProof/>
            </w:rPr>
          </w:pPr>
          <w:hyperlink w:anchor="_Toc498519501" w:history="1">
            <w:r w:rsidRPr="004F70D0">
              <w:rPr>
                <w:rStyle w:val="Hipervnculo"/>
                <w:rFonts w:cstheme="minorHAnsi"/>
                <w:b/>
                <w:noProof/>
              </w:rPr>
              <w:t>a) Beneficio por ahorro en traslado de mercancías.</w:t>
            </w:r>
            <w:r>
              <w:rPr>
                <w:noProof/>
                <w:webHidden/>
              </w:rPr>
              <w:tab/>
            </w:r>
            <w:r>
              <w:rPr>
                <w:noProof/>
                <w:webHidden/>
              </w:rPr>
              <w:fldChar w:fldCharType="begin"/>
            </w:r>
            <w:r>
              <w:rPr>
                <w:noProof/>
                <w:webHidden/>
              </w:rPr>
              <w:instrText xml:space="preserve"> PAGEREF _Toc498519501 \h </w:instrText>
            </w:r>
            <w:r>
              <w:rPr>
                <w:noProof/>
                <w:webHidden/>
              </w:rPr>
            </w:r>
            <w:r>
              <w:rPr>
                <w:noProof/>
                <w:webHidden/>
              </w:rPr>
              <w:fldChar w:fldCharType="separate"/>
            </w:r>
            <w:r>
              <w:rPr>
                <w:noProof/>
                <w:webHidden/>
              </w:rPr>
              <w:t>20</w:t>
            </w:r>
            <w:r>
              <w:rPr>
                <w:noProof/>
                <w:webHidden/>
              </w:rPr>
              <w:fldChar w:fldCharType="end"/>
            </w:r>
          </w:hyperlink>
        </w:p>
        <w:p w:rsidR="001700FE" w:rsidRDefault="001700FE">
          <w:pPr>
            <w:pStyle w:val="TDC2"/>
            <w:tabs>
              <w:tab w:val="right" w:leader="dot" w:pos="9204"/>
            </w:tabs>
            <w:rPr>
              <w:rFonts w:cstheme="minorBidi"/>
              <w:noProof/>
            </w:rPr>
          </w:pPr>
          <w:hyperlink w:anchor="_Toc498519502" w:history="1">
            <w:r w:rsidRPr="004F70D0">
              <w:rPr>
                <w:rStyle w:val="Hipervnculo"/>
                <w:rFonts w:cstheme="minorHAnsi"/>
                <w:b/>
                <w:noProof/>
              </w:rPr>
              <w:t>b) Beneficio por evitar costos por molestia a los habitantes que viven en terrenos aledaños a las vías.</w:t>
            </w:r>
            <w:r>
              <w:rPr>
                <w:noProof/>
                <w:webHidden/>
              </w:rPr>
              <w:tab/>
            </w:r>
            <w:r>
              <w:rPr>
                <w:noProof/>
                <w:webHidden/>
              </w:rPr>
              <w:fldChar w:fldCharType="begin"/>
            </w:r>
            <w:r>
              <w:rPr>
                <w:noProof/>
                <w:webHidden/>
              </w:rPr>
              <w:instrText xml:space="preserve"> PAGEREF _Toc498519502 \h </w:instrText>
            </w:r>
            <w:r>
              <w:rPr>
                <w:noProof/>
                <w:webHidden/>
              </w:rPr>
            </w:r>
            <w:r>
              <w:rPr>
                <w:noProof/>
                <w:webHidden/>
              </w:rPr>
              <w:fldChar w:fldCharType="separate"/>
            </w:r>
            <w:r>
              <w:rPr>
                <w:noProof/>
                <w:webHidden/>
              </w:rPr>
              <w:t>21</w:t>
            </w:r>
            <w:r>
              <w:rPr>
                <w:noProof/>
                <w:webHidden/>
              </w:rPr>
              <w:fldChar w:fldCharType="end"/>
            </w:r>
          </w:hyperlink>
        </w:p>
        <w:p w:rsidR="001700FE" w:rsidRDefault="001700FE">
          <w:pPr>
            <w:pStyle w:val="TDC2"/>
            <w:tabs>
              <w:tab w:val="right" w:leader="dot" w:pos="9204"/>
            </w:tabs>
            <w:rPr>
              <w:rFonts w:cstheme="minorBidi"/>
              <w:noProof/>
            </w:rPr>
          </w:pPr>
          <w:hyperlink w:anchor="_Toc498519503" w:history="1">
            <w:r w:rsidRPr="004F70D0">
              <w:rPr>
                <w:rStyle w:val="Hipervnculo"/>
                <w:rFonts w:cstheme="minorHAnsi"/>
                <w:b/>
                <w:noProof/>
              </w:rPr>
              <w:t>c) Beneficio por liberación de terrenos.</w:t>
            </w:r>
            <w:r>
              <w:rPr>
                <w:noProof/>
                <w:webHidden/>
              </w:rPr>
              <w:tab/>
            </w:r>
            <w:r>
              <w:rPr>
                <w:noProof/>
                <w:webHidden/>
              </w:rPr>
              <w:fldChar w:fldCharType="begin"/>
            </w:r>
            <w:r>
              <w:rPr>
                <w:noProof/>
                <w:webHidden/>
              </w:rPr>
              <w:instrText xml:space="preserve"> PAGEREF _Toc498519503 \h </w:instrText>
            </w:r>
            <w:r>
              <w:rPr>
                <w:noProof/>
                <w:webHidden/>
              </w:rPr>
            </w:r>
            <w:r>
              <w:rPr>
                <w:noProof/>
                <w:webHidden/>
              </w:rPr>
              <w:fldChar w:fldCharType="separate"/>
            </w:r>
            <w:r>
              <w:rPr>
                <w:noProof/>
                <w:webHidden/>
              </w:rPr>
              <w:t>22</w:t>
            </w:r>
            <w:r>
              <w:rPr>
                <w:noProof/>
                <w:webHidden/>
              </w:rPr>
              <w:fldChar w:fldCharType="end"/>
            </w:r>
          </w:hyperlink>
        </w:p>
        <w:p w:rsidR="001700FE" w:rsidRDefault="001700FE">
          <w:pPr>
            <w:pStyle w:val="TDC2"/>
            <w:tabs>
              <w:tab w:val="right" w:leader="dot" w:pos="9204"/>
            </w:tabs>
            <w:rPr>
              <w:rFonts w:cstheme="minorBidi"/>
              <w:noProof/>
            </w:rPr>
          </w:pPr>
          <w:hyperlink w:anchor="_Toc498519504" w:history="1">
            <w:r w:rsidRPr="004F70D0">
              <w:rPr>
                <w:rStyle w:val="Hipervnculo"/>
                <w:rFonts w:cstheme="minorHAnsi"/>
                <w:b/>
                <w:noProof/>
              </w:rPr>
              <w:t>d) Beneficio por ahorro en costos de operación.</w:t>
            </w:r>
            <w:r>
              <w:rPr>
                <w:noProof/>
                <w:webHidden/>
              </w:rPr>
              <w:tab/>
            </w:r>
            <w:r>
              <w:rPr>
                <w:noProof/>
                <w:webHidden/>
              </w:rPr>
              <w:fldChar w:fldCharType="begin"/>
            </w:r>
            <w:r>
              <w:rPr>
                <w:noProof/>
                <w:webHidden/>
              </w:rPr>
              <w:instrText xml:space="preserve"> PAGEREF _Toc498519504 \h </w:instrText>
            </w:r>
            <w:r>
              <w:rPr>
                <w:noProof/>
                <w:webHidden/>
              </w:rPr>
            </w:r>
            <w:r>
              <w:rPr>
                <w:noProof/>
                <w:webHidden/>
              </w:rPr>
              <w:fldChar w:fldCharType="separate"/>
            </w:r>
            <w:r>
              <w:rPr>
                <w:noProof/>
                <w:webHidden/>
              </w:rPr>
              <w:t>22</w:t>
            </w:r>
            <w:r>
              <w:rPr>
                <w:noProof/>
                <w:webHidden/>
              </w:rPr>
              <w:fldChar w:fldCharType="end"/>
            </w:r>
          </w:hyperlink>
        </w:p>
        <w:p w:rsidR="001700FE" w:rsidRDefault="001700FE">
          <w:pPr>
            <w:pStyle w:val="TDC2"/>
            <w:tabs>
              <w:tab w:val="right" w:leader="dot" w:pos="9204"/>
            </w:tabs>
            <w:rPr>
              <w:rFonts w:cstheme="minorBidi"/>
              <w:noProof/>
            </w:rPr>
          </w:pPr>
          <w:hyperlink w:anchor="_Toc498519505" w:history="1">
            <w:r w:rsidRPr="004F70D0">
              <w:rPr>
                <w:rStyle w:val="Hipervnculo"/>
                <w:rFonts w:cstheme="minorHAnsi"/>
                <w:b/>
                <w:noProof/>
              </w:rPr>
              <w:t>e) Ahorro en CGV de vehículos y peatones en las calles 8ª, 6ª, 4ª, 5ª Sur, 20a Pte, Par vial y libramiento vial en los segmentos norte y sur.</w:t>
            </w:r>
            <w:r>
              <w:rPr>
                <w:noProof/>
                <w:webHidden/>
              </w:rPr>
              <w:tab/>
            </w:r>
            <w:r>
              <w:rPr>
                <w:noProof/>
                <w:webHidden/>
              </w:rPr>
              <w:fldChar w:fldCharType="begin"/>
            </w:r>
            <w:r>
              <w:rPr>
                <w:noProof/>
                <w:webHidden/>
              </w:rPr>
              <w:instrText xml:space="preserve"> PAGEREF _Toc498519505 \h </w:instrText>
            </w:r>
            <w:r>
              <w:rPr>
                <w:noProof/>
                <w:webHidden/>
              </w:rPr>
            </w:r>
            <w:r>
              <w:rPr>
                <w:noProof/>
                <w:webHidden/>
              </w:rPr>
              <w:fldChar w:fldCharType="separate"/>
            </w:r>
            <w:r>
              <w:rPr>
                <w:noProof/>
                <w:webHidden/>
              </w:rPr>
              <w:t>23</w:t>
            </w:r>
            <w:r>
              <w:rPr>
                <w:noProof/>
                <w:webHidden/>
              </w:rPr>
              <w:fldChar w:fldCharType="end"/>
            </w:r>
          </w:hyperlink>
        </w:p>
        <w:p w:rsidR="001700FE" w:rsidRDefault="001700FE">
          <w:pPr>
            <w:pStyle w:val="TDC2"/>
            <w:tabs>
              <w:tab w:val="right" w:leader="dot" w:pos="9204"/>
            </w:tabs>
            <w:rPr>
              <w:rFonts w:cstheme="minorBidi"/>
              <w:noProof/>
            </w:rPr>
          </w:pPr>
          <w:hyperlink w:anchor="_Toc498519506" w:history="1">
            <w:r w:rsidRPr="004F70D0">
              <w:rPr>
                <w:rStyle w:val="Hipervnculo"/>
                <w:rFonts w:cstheme="minorHAnsi"/>
                <w:b/>
                <w:noProof/>
              </w:rPr>
              <w:t>f) Ahorro en CGV por eliminar las vías en las calles 8ª, 6ª, 4ª, 5ª Sur, 20ª Pte, cruce par vial y libramiento segmento norte y sur.</w:t>
            </w:r>
            <w:r>
              <w:rPr>
                <w:noProof/>
                <w:webHidden/>
              </w:rPr>
              <w:tab/>
            </w:r>
            <w:r>
              <w:rPr>
                <w:noProof/>
                <w:webHidden/>
              </w:rPr>
              <w:fldChar w:fldCharType="begin"/>
            </w:r>
            <w:r>
              <w:rPr>
                <w:noProof/>
                <w:webHidden/>
              </w:rPr>
              <w:instrText xml:space="preserve"> PAGEREF _Toc498519506 \h </w:instrText>
            </w:r>
            <w:r>
              <w:rPr>
                <w:noProof/>
                <w:webHidden/>
              </w:rPr>
            </w:r>
            <w:r>
              <w:rPr>
                <w:noProof/>
                <w:webHidden/>
              </w:rPr>
              <w:fldChar w:fldCharType="separate"/>
            </w:r>
            <w:r>
              <w:rPr>
                <w:noProof/>
                <w:webHidden/>
              </w:rPr>
              <w:t>23</w:t>
            </w:r>
            <w:r>
              <w:rPr>
                <w:noProof/>
                <w:webHidden/>
              </w:rPr>
              <w:fldChar w:fldCharType="end"/>
            </w:r>
          </w:hyperlink>
        </w:p>
        <w:p w:rsidR="001700FE" w:rsidRDefault="001700FE">
          <w:pPr>
            <w:pStyle w:val="TDC1"/>
            <w:tabs>
              <w:tab w:val="left" w:pos="880"/>
              <w:tab w:val="right" w:leader="dot" w:pos="9204"/>
            </w:tabs>
            <w:rPr>
              <w:rFonts w:cstheme="minorBidi"/>
              <w:noProof/>
            </w:rPr>
          </w:pPr>
          <w:hyperlink w:anchor="_Toc498519507" w:history="1">
            <w:r w:rsidRPr="004F70D0">
              <w:rPr>
                <w:rStyle w:val="Hipervnculo"/>
                <w:noProof/>
                <w:lang w:val="es-ES_tradnl"/>
              </w:rPr>
              <w:t>XXIV.</w:t>
            </w:r>
            <w:r>
              <w:rPr>
                <w:rFonts w:cstheme="minorBidi"/>
                <w:noProof/>
              </w:rPr>
              <w:tab/>
            </w:r>
            <w:r w:rsidRPr="004F70D0">
              <w:rPr>
                <w:rStyle w:val="Hipervnculo"/>
                <w:noProof/>
                <w:lang w:val="es-ES_tradnl"/>
              </w:rPr>
              <w:t>Externalidades positivas y/o negativas.</w:t>
            </w:r>
            <w:r>
              <w:rPr>
                <w:noProof/>
                <w:webHidden/>
              </w:rPr>
              <w:tab/>
            </w:r>
            <w:r>
              <w:rPr>
                <w:noProof/>
                <w:webHidden/>
              </w:rPr>
              <w:fldChar w:fldCharType="begin"/>
            </w:r>
            <w:r>
              <w:rPr>
                <w:noProof/>
                <w:webHidden/>
              </w:rPr>
              <w:instrText xml:space="preserve"> PAGEREF _Toc498519507 \h </w:instrText>
            </w:r>
            <w:r>
              <w:rPr>
                <w:noProof/>
                <w:webHidden/>
              </w:rPr>
            </w:r>
            <w:r>
              <w:rPr>
                <w:noProof/>
                <w:webHidden/>
              </w:rPr>
              <w:fldChar w:fldCharType="separate"/>
            </w:r>
            <w:r>
              <w:rPr>
                <w:noProof/>
                <w:webHidden/>
              </w:rPr>
              <w:t>24</w:t>
            </w:r>
            <w:r>
              <w:rPr>
                <w:noProof/>
                <w:webHidden/>
              </w:rPr>
              <w:fldChar w:fldCharType="end"/>
            </w:r>
          </w:hyperlink>
        </w:p>
        <w:p w:rsidR="001700FE" w:rsidRDefault="001700FE">
          <w:pPr>
            <w:pStyle w:val="TDC2"/>
            <w:tabs>
              <w:tab w:val="right" w:leader="dot" w:pos="9204"/>
            </w:tabs>
            <w:rPr>
              <w:rFonts w:cstheme="minorBidi"/>
              <w:noProof/>
            </w:rPr>
          </w:pPr>
          <w:hyperlink w:anchor="_Toc498519508" w:history="1">
            <w:r w:rsidRPr="004F70D0">
              <w:rPr>
                <w:rStyle w:val="Hipervnculo"/>
                <w:rFonts w:cstheme="minorHAnsi"/>
                <w:b/>
                <w:noProof/>
              </w:rPr>
              <w:t>a) Externalidades positivas.</w:t>
            </w:r>
            <w:r>
              <w:rPr>
                <w:noProof/>
                <w:webHidden/>
              </w:rPr>
              <w:tab/>
            </w:r>
            <w:r>
              <w:rPr>
                <w:noProof/>
                <w:webHidden/>
              </w:rPr>
              <w:fldChar w:fldCharType="begin"/>
            </w:r>
            <w:r>
              <w:rPr>
                <w:noProof/>
                <w:webHidden/>
              </w:rPr>
              <w:instrText xml:space="preserve"> PAGEREF _Toc498519508 \h </w:instrText>
            </w:r>
            <w:r>
              <w:rPr>
                <w:noProof/>
                <w:webHidden/>
              </w:rPr>
            </w:r>
            <w:r>
              <w:rPr>
                <w:noProof/>
                <w:webHidden/>
              </w:rPr>
              <w:fldChar w:fldCharType="separate"/>
            </w:r>
            <w:r>
              <w:rPr>
                <w:noProof/>
                <w:webHidden/>
              </w:rPr>
              <w:t>24</w:t>
            </w:r>
            <w:r>
              <w:rPr>
                <w:noProof/>
                <w:webHidden/>
              </w:rPr>
              <w:fldChar w:fldCharType="end"/>
            </w:r>
          </w:hyperlink>
        </w:p>
        <w:p w:rsidR="001700FE" w:rsidRDefault="001700FE">
          <w:pPr>
            <w:pStyle w:val="TDC2"/>
            <w:tabs>
              <w:tab w:val="right" w:leader="dot" w:pos="9204"/>
            </w:tabs>
            <w:rPr>
              <w:rFonts w:cstheme="minorBidi"/>
              <w:noProof/>
            </w:rPr>
          </w:pPr>
          <w:hyperlink w:anchor="_Toc498519509" w:history="1">
            <w:r w:rsidRPr="004F70D0">
              <w:rPr>
                <w:rStyle w:val="Hipervnculo"/>
                <w:rFonts w:cstheme="minorHAnsi"/>
                <w:b/>
                <w:noProof/>
              </w:rPr>
              <w:t>b) Externalidades negativas.</w:t>
            </w:r>
            <w:r>
              <w:rPr>
                <w:noProof/>
                <w:webHidden/>
              </w:rPr>
              <w:tab/>
            </w:r>
            <w:r>
              <w:rPr>
                <w:noProof/>
                <w:webHidden/>
              </w:rPr>
              <w:fldChar w:fldCharType="begin"/>
            </w:r>
            <w:r>
              <w:rPr>
                <w:noProof/>
                <w:webHidden/>
              </w:rPr>
              <w:instrText xml:space="preserve"> PAGEREF _Toc498519509 \h </w:instrText>
            </w:r>
            <w:r>
              <w:rPr>
                <w:noProof/>
                <w:webHidden/>
              </w:rPr>
            </w:r>
            <w:r>
              <w:rPr>
                <w:noProof/>
                <w:webHidden/>
              </w:rPr>
              <w:fldChar w:fldCharType="separate"/>
            </w:r>
            <w:r>
              <w:rPr>
                <w:noProof/>
                <w:webHidden/>
              </w:rPr>
              <w:t>24</w:t>
            </w:r>
            <w:r>
              <w:rPr>
                <w:noProof/>
                <w:webHidden/>
              </w:rPr>
              <w:fldChar w:fldCharType="end"/>
            </w:r>
          </w:hyperlink>
        </w:p>
        <w:p w:rsidR="001700FE" w:rsidRDefault="001700FE">
          <w:pPr>
            <w:pStyle w:val="TDC1"/>
            <w:tabs>
              <w:tab w:val="left" w:pos="660"/>
              <w:tab w:val="right" w:leader="dot" w:pos="9204"/>
            </w:tabs>
            <w:rPr>
              <w:rFonts w:cstheme="minorBidi"/>
              <w:noProof/>
            </w:rPr>
          </w:pPr>
          <w:hyperlink w:anchor="_Toc498519510" w:history="1">
            <w:r w:rsidRPr="004F70D0">
              <w:rPr>
                <w:rStyle w:val="Hipervnculo"/>
                <w:noProof/>
                <w:lang w:val="es-ES_tradnl"/>
              </w:rPr>
              <w:t>XXV.</w:t>
            </w:r>
            <w:r>
              <w:rPr>
                <w:rFonts w:cstheme="minorBidi"/>
                <w:noProof/>
              </w:rPr>
              <w:tab/>
            </w:r>
            <w:r w:rsidRPr="004F70D0">
              <w:rPr>
                <w:rStyle w:val="Hipervnculo"/>
                <w:noProof/>
                <w:lang w:val="es-ES_tradnl"/>
              </w:rPr>
              <w:t>Indicadores de rentabilidad.</w:t>
            </w:r>
            <w:r>
              <w:rPr>
                <w:noProof/>
                <w:webHidden/>
              </w:rPr>
              <w:tab/>
            </w:r>
            <w:r>
              <w:rPr>
                <w:noProof/>
                <w:webHidden/>
              </w:rPr>
              <w:fldChar w:fldCharType="begin"/>
            </w:r>
            <w:r>
              <w:rPr>
                <w:noProof/>
                <w:webHidden/>
              </w:rPr>
              <w:instrText xml:space="preserve"> PAGEREF _Toc498519510 \h </w:instrText>
            </w:r>
            <w:r>
              <w:rPr>
                <w:noProof/>
                <w:webHidden/>
              </w:rPr>
            </w:r>
            <w:r>
              <w:rPr>
                <w:noProof/>
                <w:webHidden/>
              </w:rPr>
              <w:fldChar w:fldCharType="separate"/>
            </w:r>
            <w:r>
              <w:rPr>
                <w:noProof/>
                <w:webHidden/>
              </w:rPr>
              <w:t>24</w:t>
            </w:r>
            <w:r>
              <w:rPr>
                <w:noProof/>
                <w:webHidden/>
              </w:rPr>
              <w:fldChar w:fldCharType="end"/>
            </w:r>
          </w:hyperlink>
        </w:p>
        <w:p w:rsidR="001700FE" w:rsidRDefault="001700FE">
          <w:pPr>
            <w:pStyle w:val="TDC3"/>
            <w:tabs>
              <w:tab w:val="right" w:leader="dot" w:pos="9204"/>
            </w:tabs>
            <w:rPr>
              <w:rFonts w:cstheme="minorBidi"/>
              <w:noProof/>
            </w:rPr>
          </w:pPr>
          <w:hyperlink w:anchor="_Toc498519511" w:history="1">
            <w:r w:rsidRPr="004F70D0">
              <w:rPr>
                <w:rStyle w:val="Hipervnculo"/>
                <w:noProof/>
              </w:rPr>
              <w:t>Tabla 17. Indicadores Ex Ante (a precios de 2009)</w:t>
            </w:r>
            <w:r>
              <w:rPr>
                <w:noProof/>
                <w:webHidden/>
              </w:rPr>
              <w:tab/>
            </w:r>
            <w:r>
              <w:rPr>
                <w:noProof/>
                <w:webHidden/>
              </w:rPr>
              <w:fldChar w:fldCharType="begin"/>
            </w:r>
            <w:r>
              <w:rPr>
                <w:noProof/>
                <w:webHidden/>
              </w:rPr>
              <w:instrText xml:space="preserve"> PAGEREF _Toc498519511 \h </w:instrText>
            </w:r>
            <w:r>
              <w:rPr>
                <w:noProof/>
                <w:webHidden/>
              </w:rPr>
            </w:r>
            <w:r>
              <w:rPr>
                <w:noProof/>
                <w:webHidden/>
              </w:rPr>
              <w:fldChar w:fldCharType="separate"/>
            </w:r>
            <w:r>
              <w:rPr>
                <w:noProof/>
                <w:webHidden/>
              </w:rPr>
              <w:t>24</w:t>
            </w:r>
            <w:r>
              <w:rPr>
                <w:noProof/>
                <w:webHidden/>
              </w:rPr>
              <w:fldChar w:fldCharType="end"/>
            </w:r>
          </w:hyperlink>
        </w:p>
        <w:p w:rsidR="001700FE" w:rsidRDefault="001700FE">
          <w:pPr>
            <w:pStyle w:val="TDC3"/>
            <w:tabs>
              <w:tab w:val="right" w:leader="dot" w:pos="9204"/>
            </w:tabs>
            <w:rPr>
              <w:rFonts w:cstheme="minorBidi"/>
              <w:noProof/>
            </w:rPr>
          </w:pPr>
          <w:hyperlink w:anchor="_Toc498519512" w:history="1">
            <w:r w:rsidRPr="004F70D0">
              <w:rPr>
                <w:rStyle w:val="Hipervnculo"/>
                <w:noProof/>
              </w:rPr>
              <w:t>Tabla18. Indicadores Ex Ante (a precios de 2017)</w:t>
            </w:r>
            <w:r>
              <w:rPr>
                <w:noProof/>
                <w:webHidden/>
              </w:rPr>
              <w:tab/>
            </w:r>
            <w:r>
              <w:rPr>
                <w:noProof/>
                <w:webHidden/>
              </w:rPr>
              <w:fldChar w:fldCharType="begin"/>
            </w:r>
            <w:r>
              <w:rPr>
                <w:noProof/>
                <w:webHidden/>
              </w:rPr>
              <w:instrText xml:space="preserve"> PAGEREF _Toc498519512 \h </w:instrText>
            </w:r>
            <w:r>
              <w:rPr>
                <w:noProof/>
                <w:webHidden/>
              </w:rPr>
            </w:r>
            <w:r>
              <w:rPr>
                <w:noProof/>
                <w:webHidden/>
              </w:rPr>
              <w:fldChar w:fldCharType="separate"/>
            </w:r>
            <w:r>
              <w:rPr>
                <w:noProof/>
                <w:webHidden/>
              </w:rPr>
              <w:t>24</w:t>
            </w:r>
            <w:r>
              <w:rPr>
                <w:noProof/>
                <w:webHidden/>
              </w:rPr>
              <w:fldChar w:fldCharType="end"/>
            </w:r>
          </w:hyperlink>
        </w:p>
        <w:p w:rsidR="001700FE" w:rsidRDefault="001700FE">
          <w:pPr>
            <w:pStyle w:val="TDC3"/>
            <w:tabs>
              <w:tab w:val="right" w:leader="dot" w:pos="9204"/>
            </w:tabs>
            <w:rPr>
              <w:rFonts w:cstheme="minorBidi"/>
              <w:noProof/>
            </w:rPr>
          </w:pPr>
          <w:hyperlink w:anchor="_Toc498519513" w:history="1">
            <w:r w:rsidRPr="004F70D0">
              <w:rPr>
                <w:rStyle w:val="Hipervnculo"/>
                <w:noProof/>
              </w:rPr>
              <w:t>Tabla 19. Indicadores Ex Post (a precios de 2009)</w:t>
            </w:r>
            <w:r>
              <w:rPr>
                <w:noProof/>
                <w:webHidden/>
              </w:rPr>
              <w:tab/>
            </w:r>
            <w:r>
              <w:rPr>
                <w:noProof/>
                <w:webHidden/>
              </w:rPr>
              <w:fldChar w:fldCharType="begin"/>
            </w:r>
            <w:r>
              <w:rPr>
                <w:noProof/>
                <w:webHidden/>
              </w:rPr>
              <w:instrText xml:space="preserve"> PAGEREF _Toc498519513 \h </w:instrText>
            </w:r>
            <w:r>
              <w:rPr>
                <w:noProof/>
                <w:webHidden/>
              </w:rPr>
            </w:r>
            <w:r>
              <w:rPr>
                <w:noProof/>
                <w:webHidden/>
              </w:rPr>
              <w:fldChar w:fldCharType="separate"/>
            </w:r>
            <w:r>
              <w:rPr>
                <w:noProof/>
                <w:webHidden/>
              </w:rPr>
              <w:t>24</w:t>
            </w:r>
            <w:r>
              <w:rPr>
                <w:noProof/>
                <w:webHidden/>
              </w:rPr>
              <w:fldChar w:fldCharType="end"/>
            </w:r>
          </w:hyperlink>
        </w:p>
        <w:p w:rsidR="001700FE" w:rsidRDefault="001700FE">
          <w:pPr>
            <w:pStyle w:val="TDC3"/>
            <w:tabs>
              <w:tab w:val="right" w:leader="dot" w:pos="9204"/>
            </w:tabs>
            <w:rPr>
              <w:rFonts w:cstheme="minorBidi"/>
              <w:noProof/>
            </w:rPr>
          </w:pPr>
          <w:hyperlink w:anchor="_Toc498519514" w:history="1">
            <w:r w:rsidRPr="004F70D0">
              <w:rPr>
                <w:rStyle w:val="Hipervnculo"/>
                <w:noProof/>
              </w:rPr>
              <w:t>Tabla 20. Indicadores Ex Post(a precios de 2017)</w:t>
            </w:r>
            <w:r>
              <w:rPr>
                <w:noProof/>
                <w:webHidden/>
              </w:rPr>
              <w:tab/>
            </w:r>
            <w:r>
              <w:rPr>
                <w:noProof/>
                <w:webHidden/>
              </w:rPr>
              <w:fldChar w:fldCharType="begin"/>
            </w:r>
            <w:r>
              <w:rPr>
                <w:noProof/>
                <w:webHidden/>
              </w:rPr>
              <w:instrText xml:space="preserve"> PAGEREF _Toc498519514 \h </w:instrText>
            </w:r>
            <w:r>
              <w:rPr>
                <w:noProof/>
                <w:webHidden/>
              </w:rPr>
            </w:r>
            <w:r>
              <w:rPr>
                <w:noProof/>
                <w:webHidden/>
              </w:rPr>
              <w:fldChar w:fldCharType="separate"/>
            </w:r>
            <w:r>
              <w:rPr>
                <w:noProof/>
                <w:webHidden/>
              </w:rPr>
              <w:t>24</w:t>
            </w:r>
            <w:r>
              <w:rPr>
                <w:noProof/>
                <w:webHidden/>
              </w:rPr>
              <w:fldChar w:fldCharType="end"/>
            </w:r>
          </w:hyperlink>
        </w:p>
        <w:p w:rsidR="001700FE" w:rsidRDefault="001700FE">
          <w:pPr>
            <w:pStyle w:val="TDC1"/>
            <w:tabs>
              <w:tab w:val="left" w:pos="880"/>
              <w:tab w:val="right" w:leader="dot" w:pos="9204"/>
            </w:tabs>
            <w:rPr>
              <w:rFonts w:cstheme="minorBidi"/>
              <w:noProof/>
            </w:rPr>
          </w:pPr>
          <w:hyperlink w:anchor="_Toc498519515" w:history="1">
            <w:r w:rsidRPr="004F70D0">
              <w:rPr>
                <w:rStyle w:val="Hipervnculo"/>
                <w:noProof/>
                <w:lang w:val="es-ES_tradnl"/>
              </w:rPr>
              <w:t>XXVI.</w:t>
            </w:r>
            <w:r>
              <w:rPr>
                <w:rFonts w:cstheme="minorBidi"/>
                <w:noProof/>
              </w:rPr>
              <w:tab/>
            </w:r>
            <w:r w:rsidRPr="004F70D0">
              <w:rPr>
                <w:rStyle w:val="Hipervnculo"/>
                <w:noProof/>
                <w:lang w:val="es-ES_tradnl"/>
              </w:rPr>
              <w:t>Desviaciones en el cumplimiento.</w:t>
            </w:r>
            <w:r>
              <w:rPr>
                <w:noProof/>
                <w:webHidden/>
              </w:rPr>
              <w:tab/>
            </w:r>
            <w:r>
              <w:rPr>
                <w:noProof/>
                <w:webHidden/>
              </w:rPr>
              <w:fldChar w:fldCharType="begin"/>
            </w:r>
            <w:r>
              <w:rPr>
                <w:noProof/>
                <w:webHidden/>
              </w:rPr>
              <w:instrText xml:space="preserve"> PAGEREF _Toc498519515 \h </w:instrText>
            </w:r>
            <w:r>
              <w:rPr>
                <w:noProof/>
                <w:webHidden/>
              </w:rPr>
            </w:r>
            <w:r>
              <w:rPr>
                <w:noProof/>
                <w:webHidden/>
              </w:rPr>
              <w:fldChar w:fldCharType="separate"/>
            </w:r>
            <w:r>
              <w:rPr>
                <w:noProof/>
                <w:webHidden/>
              </w:rPr>
              <w:t>25</w:t>
            </w:r>
            <w:r>
              <w:rPr>
                <w:noProof/>
                <w:webHidden/>
              </w:rPr>
              <w:fldChar w:fldCharType="end"/>
            </w:r>
          </w:hyperlink>
        </w:p>
        <w:p w:rsidR="001700FE" w:rsidRDefault="001700FE">
          <w:pPr>
            <w:pStyle w:val="TDC1"/>
            <w:tabs>
              <w:tab w:val="left" w:pos="880"/>
              <w:tab w:val="right" w:leader="dot" w:pos="9204"/>
            </w:tabs>
            <w:rPr>
              <w:rFonts w:cstheme="minorBidi"/>
              <w:noProof/>
            </w:rPr>
          </w:pPr>
          <w:hyperlink w:anchor="_Toc498519516" w:history="1">
            <w:r w:rsidRPr="004F70D0">
              <w:rPr>
                <w:rStyle w:val="Hipervnculo"/>
                <w:noProof/>
                <w:lang w:val="es-ES_tradnl"/>
              </w:rPr>
              <w:t>XXVII.</w:t>
            </w:r>
            <w:r>
              <w:rPr>
                <w:rFonts w:cstheme="minorBidi"/>
                <w:noProof/>
              </w:rPr>
              <w:tab/>
            </w:r>
            <w:r w:rsidRPr="004F70D0">
              <w:rPr>
                <w:rStyle w:val="Hipervnculo"/>
                <w:noProof/>
                <w:lang w:val="es-ES_tradnl"/>
              </w:rPr>
              <w:t>Información ex ante y ex post.</w:t>
            </w:r>
            <w:r>
              <w:rPr>
                <w:noProof/>
                <w:webHidden/>
              </w:rPr>
              <w:tab/>
            </w:r>
            <w:r>
              <w:rPr>
                <w:noProof/>
                <w:webHidden/>
              </w:rPr>
              <w:fldChar w:fldCharType="begin"/>
            </w:r>
            <w:r>
              <w:rPr>
                <w:noProof/>
                <w:webHidden/>
              </w:rPr>
              <w:instrText xml:space="preserve"> PAGEREF _Toc498519516 \h </w:instrText>
            </w:r>
            <w:r>
              <w:rPr>
                <w:noProof/>
                <w:webHidden/>
              </w:rPr>
            </w:r>
            <w:r>
              <w:rPr>
                <w:noProof/>
                <w:webHidden/>
              </w:rPr>
              <w:fldChar w:fldCharType="separate"/>
            </w:r>
            <w:r>
              <w:rPr>
                <w:noProof/>
                <w:webHidden/>
              </w:rPr>
              <w:t>25</w:t>
            </w:r>
            <w:r>
              <w:rPr>
                <w:noProof/>
                <w:webHidden/>
              </w:rPr>
              <w:fldChar w:fldCharType="end"/>
            </w:r>
          </w:hyperlink>
        </w:p>
        <w:p w:rsidR="001700FE" w:rsidRDefault="001700FE">
          <w:pPr>
            <w:pStyle w:val="TDC2"/>
            <w:tabs>
              <w:tab w:val="right" w:leader="dot" w:pos="9204"/>
            </w:tabs>
            <w:rPr>
              <w:rFonts w:cstheme="minorBidi"/>
              <w:noProof/>
            </w:rPr>
          </w:pPr>
          <w:hyperlink w:anchor="_Toc498519517" w:history="1">
            <w:r w:rsidRPr="004F70D0">
              <w:rPr>
                <w:rStyle w:val="Hipervnculo"/>
                <w:rFonts w:cstheme="minorHAnsi"/>
                <w:b/>
                <w:noProof/>
              </w:rPr>
              <w:t>a) Antecedentes.</w:t>
            </w:r>
            <w:r>
              <w:rPr>
                <w:noProof/>
                <w:webHidden/>
              </w:rPr>
              <w:tab/>
            </w:r>
            <w:r>
              <w:rPr>
                <w:noProof/>
                <w:webHidden/>
              </w:rPr>
              <w:fldChar w:fldCharType="begin"/>
            </w:r>
            <w:r>
              <w:rPr>
                <w:noProof/>
                <w:webHidden/>
              </w:rPr>
              <w:instrText xml:space="preserve"> PAGEREF _Toc498519517 \h </w:instrText>
            </w:r>
            <w:r>
              <w:rPr>
                <w:noProof/>
                <w:webHidden/>
              </w:rPr>
            </w:r>
            <w:r>
              <w:rPr>
                <w:noProof/>
                <w:webHidden/>
              </w:rPr>
              <w:fldChar w:fldCharType="separate"/>
            </w:r>
            <w:r>
              <w:rPr>
                <w:noProof/>
                <w:webHidden/>
              </w:rPr>
              <w:t>25</w:t>
            </w:r>
            <w:r>
              <w:rPr>
                <w:noProof/>
                <w:webHidden/>
              </w:rPr>
              <w:fldChar w:fldCharType="end"/>
            </w:r>
          </w:hyperlink>
        </w:p>
        <w:p w:rsidR="001700FE" w:rsidRDefault="001700FE">
          <w:pPr>
            <w:pStyle w:val="TDC2"/>
            <w:tabs>
              <w:tab w:val="right" w:leader="dot" w:pos="9204"/>
            </w:tabs>
            <w:rPr>
              <w:rFonts w:cstheme="minorBidi"/>
              <w:noProof/>
            </w:rPr>
          </w:pPr>
          <w:hyperlink w:anchor="_Toc498519518" w:history="1">
            <w:r w:rsidRPr="004F70D0">
              <w:rPr>
                <w:rStyle w:val="Hipervnculo"/>
                <w:rFonts w:cstheme="minorHAnsi"/>
                <w:b/>
                <w:noProof/>
              </w:rPr>
              <w:t>b) Problemática planteada.</w:t>
            </w:r>
            <w:r>
              <w:rPr>
                <w:noProof/>
                <w:webHidden/>
              </w:rPr>
              <w:tab/>
            </w:r>
            <w:r>
              <w:rPr>
                <w:noProof/>
                <w:webHidden/>
              </w:rPr>
              <w:fldChar w:fldCharType="begin"/>
            </w:r>
            <w:r>
              <w:rPr>
                <w:noProof/>
                <w:webHidden/>
              </w:rPr>
              <w:instrText xml:space="preserve"> PAGEREF _Toc498519518 \h </w:instrText>
            </w:r>
            <w:r>
              <w:rPr>
                <w:noProof/>
                <w:webHidden/>
              </w:rPr>
            </w:r>
            <w:r>
              <w:rPr>
                <w:noProof/>
                <w:webHidden/>
              </w:rPr>
              <w:fldChar w:fldCharType="separate"/>
            </w:r>
            <w:r>
              <w:rPr>
                <w:noProof/>
                <w:webHidden/>
              </w:rPr>
              <w:t>26</w:t>
            </w:r>
            <w:r>
              <w:rPr>
                <w:noProof/>
                <w:webHidden/>
              </w:rPr>
              <w:fldChar w:fldCharType="end"/>
            </w:r>
          </w:hyperlink>
        </w:p>
        <w:p w:rsidR="001700FE" w:rsidRDefault="001700FE">
          <w:pPr>
            <w:pStyle w:val="TDC2"/>
            <w:tabs>
              <w:tab w:val="right" w:leader="dot" w:pos="9204"/>
            </w:tabs>
            <w:rPr>
              <w:rFonts w:cstheme="minorBidi"/>
              <w:noProof/>
            </w:rPr>
          </w:pPr>
          <w:hyperlink w:anchor="_Toc498519519" w:history="1">
            <w:r w:rsidRPr="004F70D0">
              <w:rPr>
                <w:rStyle w:val="Hipervnculo"/>
                <w:rFonts w:cstheme="minorHAnsi"/>
                <w:b/>
                <w:noProof/>
              </w:rPr>
              <w:t>c) Objetivo.</w:t>
            </w:r>
            <w:r>
              <w:rPr>
                <w:noProof/>
                <w:webHidden/>
              </w:rPr>
              <w:tab/>
            </w:r>
            <w:r>
              <w:rPr>
                <w:noProof/>
                <w:webHidden/>
              </w:rPr>
              <w:fldChar w:fldCharType="begin"/>
            </w:r>
            <w:r>
              <w:rPr>
                <w:noProof/>
                <w:webHidden/>
              </w:rPr>
              <w:instrText xml:space="preserve"> PAGEREF _Toc498519519 \h </w:instrText>
            </w:r>
            <w:r>
              <w:rPr>
                <w:noProof/>
                <w:webHidden/>
              </w:rPr>
            </w:r>
            <w:r>
              <w:rPr>
                <w:noProof/>
                <w:webHidden/>
              </w:rPr>
              <w:fldChar w:fldCharType="separate"/>
            </w:r>
            <w:r>
              <w:rPr>
                <w:noProof/>
                <w:webHidden/>
              </w:rPr>
              <w:t>26</w:t>
            </w:r>
            <w:r>
              <w:rPr>
                <w:noProof/>
                <w:webHidden/>
              </w:rPr>
              <w:fldChar w:fldCharType="end"/>
            </w:r>
          </w:hyperlink>
        </w:p>
        <w:p w:rsidR="001700FE" w:rsidRDefault="001700FE">
          <w:pPr>
            <w:pStyle w:val="TDC2"/>
            <w:tabs>
              <w:tab w:val="right" w:leader="dot" w:pos="9204"/>
            </w:tabs>
            <w:rPr>
              <w:rFonts w:cstheme="minorBidi"/>
              <w:noProof/>
            </w:rPr>
          </w:pPr>
          <w:hyperlink w:anchor="_Toc498519520" w:history="1">
            <w:r w:rsidRPr="004F70D0">
              <w:rPr>
                <w:rStyle w:val="Hipervnculo"/>
                <w:rFonts w:cstheme="minorHAnsi"/>
                <w:b/>
                <w:noProof/>
              </w:rPr>
              <w:t>d) Riesgos asociados.</w:t>
            </w:r>
            <w:r>
              <w:rPr>
                <w:noProof/>
                <w:webHidden/>
              </w:rPr>
              <w:tab/>
            </w:r>
            <w:r>
              <w:rPr>
                <w:noProof/>
                <w:webHidden/>
              </w:rPr>
              <w:fldChar w:fldCharType="begin"/>
            </w:r>
            <w:r>
              <w:rPr>
                <w:noProof/>
                <w:webHidden/>
              </w:rPr>
              <w:instrText xml:space="preserve"> PAGEREF _Toc498519520 \h </w:instrText>
            </w:r>
            <w:r>
              <w:rPr>
                <w:noProof/>
                <w:webHidden/>
              </w:rPr>
            </w:r>
            <w:r>
              <w:rPr>
                <w:noProof/>
                <w:webHidden/>
              </w:rPr>
              <w:fldChar w:fldCharType="separate"/>
            </w:r>
            <w:r>
              <w:rPr>
                <w:noProof/>
                <w:webHidden/>
              </w:rPr>
              <w:t>26</w:t>
            </w:r>
            <w:r>
              <w:rPr>
                <w:noProof/>
                <w:webHidden/>
              </w:rPr>
              <w:fldChar w:fldCharType="end"/>
            </w:r>
          </w:hyperlink>
        </w:p>
        <w:p w:rsidR="001700FE" w:rsidRDefault="001700FE">
          <w:pPr>
            <w:pStyle w:val="TDC2"/>
            <w:tabs>
              <w:tab w:val="right" w:leader="dot" w:pos="9204"/>
            </w:tabs>
            <w:rPr>
              <w:rFonts w:cstheme="minorBidi"/>
              <w:noProof/>
            </w:rPr>
          </w:pPr>
          <w:hyperlink w:anchor="_Toc498519521" w:history="1">
            <w:r w:rsidRPr="004F70D0">
              <w:rPr>
                <w:rStyle w:val="Hipervnculo"/>
                <w:rFonts w:cstheme="minorHAnsi"/>
                <w:b/>
                <w:noProof/>
              </w:rPr>
              <w:t>e) Oferta.</w:t>
            </w:r>
            <w:r>
              <w:rPr>
                <w:noProof/>
                <w:webHidden/>
              </w:rPr>
              <w:tab/>
            </w:r>
            <w:r>
              <w:rPr>
                <w:noProof/>
                <w:webHidden/>
              </w:rPr>
              <w:fldChar w:fldCharType="begin"/>
            </w:r>
            <w:r>
              <w:rPr>
                <w:noProof/>
                <w:webHidden/>
              </w:rPr>
              <w:instrText xml:space="preserve"> PAGEREF _Toc498519521 \h </w:instrText>
            </w:r>
            <w:r>
              <w:rPr>
                <w:noProof/>
                <w:webHidden/>
              </w:rPr>
            </w:r>
            <w:r>
              <w:rPr>
                <w:noProof/>
                <w:webHidden/>
              </w:rPr>
              <w:fldChar w:fldCharType="separate"/>
            </w:r>
            <w:r>
              <w:rPr>
                <w:noProof/>
                <w:webHidden/>
              </w:rPr>
              <w:t>26</w:t>
            </w:r>
            <w:r>
              <w:rPr>
                <w:noProof/>
                <w:webHidden/>
              </w:rPr>
              <w:fldChar w:fldCharType="end"/>
            </w:r>
          </w:hyperlink>
        </w:p>
        <w:p w:rsidR="001700FE" w:rsidRDefault="001700FE">
          <w:pPr>
            <w:pStyle w:val="TDC2"/>
            <w:tabs>
              <w:tab w:val="right" w:leader="dot" w:pos="9204"/>
            </w:tabs>
            <w:rPr>
              <w:rFonts w:cstheme="minorBidi"/>
              <w:noProof/>
            </w:rPr>
          </w:pPr>
          <w:hyperlink w:anchor="_Toc498519522" w:history="1">
            <w:r w:rsidRPr="004F70D0">
              <w:rPr>
                <w:rStyle w:val="Hipervnculo"/>
                <w:rFonts w:cstheme="minorHAnsi"/>
                <w:b/>
                <w:noProof/>
              </w:rPr>
              <w:t>f) Demanda.</w:t>
            </w:r>
            <w:r>
              <w:rPr>
                <w:noProof/>
                <w:webHidden/>
              </w:rPr>
              <w:tab/>
            </w:r>
            <w:r>
              <w:rPr>
                <w:noProof/>
                <w:webHidden/>
              </w:rPr>
              <w:fldChar w:fldCharType="begin"/>
            </w:r>
            <w:r>
              <w:rPr>
                <w:noProof/>
                <w:webHidden/>
              </w:rPr>
              <w:instrText xml:space="preserve"> PAGEREF _Toc498519522 \h </w:instrText>
            </w:r>
            <w:r>
              <w:rPr>
                <w:noProof/>
                <w:webHidden/>
              </w:rPr>
            </w:r>
            <w:r>
              <w:rPr>
                <w:noProof/>
                <w:webHidden/>
              </w:rPr>
              <w:fldChar w:fldCharType="separate"/>
            </w:r>
            <w:r>
              <w:rPr>
                <w:noProof/>
                <w:webHidden/>
              </w:rPr>
              <w:t>27</w:t>
            </w:r>
            <w:r>
              <w:rPr>
                <w:noProof/>
                <w:webHidden/>
              </w:rPr>
              <w:fldChar w:fldCharType="end"/>
            </w:r>
          </w:hyperlink>
        </w:p>
        <w:p w:rsidR="001700FE" w:rsidRDefault="001700FE">
          <w:pPr>
            <w:pStyle w:val="TDC3"/>
            <w:tabs>
              <w:tab w:val="right" w:leader="dot" w:pos="9204"/>
            </w:tabs>
            <w:rPr>
              <w:rFonts w:cstheme="minorBidi"/>
              <w:noProof/>
            </w:rPr>
          </w:pPr>
          <w:hyperlink w:anchor="_Toc498519523" w:history="1">
            <w:r w:rsidRPr="004F70D0">
              <w:rPr>
                <w:rStyle w:val="Hipervnculo"/>
                <w:noProof/>
              </w:rPr>
              <w:t>Tabla 20. Demanda histórica línea “K”.</w:t>
            </w:r>
            <w:r>
              <w:rPr>
                <w:noProof/>
                <w:webHidden/>
              </w:rPr>
              <w:tab/>
            </w:r>
            <w:r>
              <w:rPr>
                <w:noProof/>
                <w:webHidden/>
              </w:rPr>
              <w:fldChar w:fldCharType="begin"/>
            </w:r>
            <w:r>
              <w:rPr>
                <w:noProof/>
                <w:webHidden/>
              </w:rPr>
              <w:instrText xml:space="preserve"> PAGEREF _Toc498519523 \h </w:instrText>
            </w:r>
            <w:r>
              <w:rPr>
                <w:noProof/>
                <w:webHidden/>
              </w:rPr>
            </w:r>
            <w:r>
              <w:rPr>
                <w:noProof/>
                <w:webHidden/>
              </w:rPr>
              <w:fldChar w:fldCharType="separate"/>
            </w:r>
            <w:r>
              <w:rPr>
                <w:noProof/>
                <w:webHidden/>
              </w:rPr>
              <w:t>27</w:t>
            </w:r>
            <w:r>
              <w:rPr>
                <w:noProof/>
                <w:webHidden/>
              </w:rPr>
              <w:fldChar w:fldCharType="end"/>
            </w:r>
          </w:hyperlink>
        </w:p>
        <w:p w:rsidR="001700FE" w:rsidRDefault="001700FE">
          <w:pPr>
            <w:pStyle w:val="TDC2"/>
            <w:tabs>
              <w:tab w:val="right" w:leader="dot" w:pos="9204"/>
            </w:tabs>
            <w:rPr>
              <w:rFonts w:cstheme="minorBidi"/>
              <w:noProof/>
            </w:rPr>
          </w:pPr>
          <w:hyperlink w:anchor="_Toc498519524" w:history="1">
            <w:r w:rsidRPr="004F70D0">
              <w:rPr>
                <w:rStyle w:val="Hipervnculo"/>
                <w:rFonts w:cstheme="minorHAnsi"/>
                <w:b/>
                <w:noProof/>
              </w:rPr>
              <w:t>g) Alternativas de solución.</w:t>
            </w:r>
            <w:r>
              <w:rPr>
                <w:noProof/>
                <w:webHidden/>
              </w:rPr>
              <w:tab/>
            </w:r>
            <w:r>
              <w:rPr>
                <w:noProof/>
                <w:webHidden/>
              </w:rPr>
              <w:fldChar w:fldCharType="begin"/>
            </w:r>
            <w:r>
              <w:rPr>
                <w:noProof/>
                <w:webHidden/>
              </w:rPr>
              <w:instrText xml:space="preserve"> PAGEREF _Toc498519524 \h </w:instrText>
            </w:r>
            <w:r>
              <w:rPr>
                <w:noProof/>
                <w:webHidden/>
              </w:rPr>
            </w:r>
            <w:r>
              <w:rPr>
                <w:noProof/>
                <w:webHidden/>
              </w:rPr>
              <w:fldChar w:fldCharType="separate"/>
            </w:r>
            <w:r>
              <w:rPr>
                <w:noProof/>
                <w:webHidden/>
              </w:rPr>
              <w:t>27</w:t>
            </w:r>
            <w:r>
              <w:rPr>
                <w:noProof/>
                <w:webHidden/>
              </w:rPr>
              <w:fldChar w:fldCharType="end"/>
            </w:r>
          </w:hyperlink>
        </w:p>
        <w:p w:rsidR="001700FE" w:rsidRDefault="001700FE">
          <w:pPr>
            <w:pStyle w:val="TDC3"/>
            <w:tabs>
              <w:tab w:val="right" w:leader="dot" w:pos="9204"/>
            </w:tabs>
            <w:rPr>
              <w:rFonts w:cstheme="minorBidi"/>
              <w:noProof/>
            </w:rPr>
          </w:pPr>
          <w:hyperlink w:anchor="_Toc498519525" w:history="1">
            <w:r w:rsidRPr="004F70D0">
              <w:rPr>
                <w:rStyle w:val="Hipervnculo"/>
                <w:noProof/>
              </w:rPr>
              <w:t>Tabla 21. Costos Alternativa “A”.</w:t>
            </w:r>
            <w:r>
              <w:rPr>
                <w:noProof/>
                <w:webHidden/>
              </w:rPr>
              <w:tab/>
            </w:r>
            <w:r>
              <w:rPr>
                <w:noProof/>
                <w:webHidden/>
              </w:rPr>
              <w:fldChar w:fldCharType="begin"/>
            </w:r>
            <w:r>
              <w:rPr>
                <w:noProof/>
                <w:webHidden/>
              </w:rPr>
              <w:instrText xml:space="preserve"> PAGEREF _Toc498519525 \h </w:instrText>
            </w:r>
            <w:r>
              <w:rPr>
                <w:noProof/>
                <w:webHidden/>
              </w:rPr>
            </w:r>
            <w:r>
              <w:rPr>
                <w:noProof/>
                <w:webHidden/>
              </w:rPr>
              <w:fldChar w:fldCharType="separate"/>
            </w:r>
            <w:r>
              <w:rPr>
                <w:noProof/>
                <w:webHidden/>
              </w:rPr>
              <w:t>29</w:t>
            </w:r>
            <w:r>
              <w:rPr>
                <w:noProof/>
                <w:webHidden/>
              </w:rPr>
              <w:fldChar w:fldCharType="end"/>
            </w:r>
          </w:hyperlink>
        </w:p>
        <w:p w:rsidR="001700FE" w:rsidRDefault="001700FE">
          <w:pPr>
            <w:pStyle w:val="TDC3"/>
            <w:tabs>
              <w:tab w:val="right" w:leader="dot" w:pos="9204"/>
            </w:tabs>
            <w:rPr>
              <w:rFonts w:cstheme="minorBidi"/>
              <w:noProof/>
            </w:rPr>
          </w:pPr>
          <w:hyperlink w:anchor="_Toc498519526" w:history="1">
            <w:r w:rsidRPr="004F70D0">
              <w:rPr>
                <w:rStyle w:val="Hipervnculo"/>
                <w:noProof/>
              </w:rPr>
              <w:t>Tabla 22. Costos Alternativa “B”.</w:t>
            </w:r>
            <w:r>
              <w:rPr>
                <w:noProof/>
                <w:webHidden/>
              </w:rPr>
              <w:tab/>
            </w:r>
            <w:r>
              <w:rPr>
                <w:noProof/>
                <w:webHidden/>
              </w:rPr>
              <w:fldChar w:fldCharType="begin"/>
            </w:r>
            <w:r>
              <w:rPr>
                <w:noProof/>
                <w:webHidden/>
              </w:rPr>
              <w:instrText xml:space="preserve"> PAGEREF _Toc498519526 \h </w:instrText>
            </w:r>
            <w:r>
              <w:rPr>
                <w:noProof/>
                <w:webHidden/>
              </w:rPr>
            </w:r>
            <w:r>
              <w:rPr>
                <w:noProof/>
                <w:webHidden/>
              </w:rPr>
              <w:fldChar w:fldCharType="separate"/>
            </w:r>
            <w:r>
              <w:rPr>
                <w:noProof/>
                <w:webHidden/>
              </w:rPr>
              <w:t>30</w:t>
            </w:r>
            <w:r>
              <w:rPr>
                <w:noProof/>
                <w:webHidden/>
              </w:rPr>
              <w:fldChar w:fldCharType="end"/>
            </w:r>
          </w:hyperlink>
        </w:p>
        <w:p w:rsidR="001700FE" w:rsidRDefault="001700FE">
          <w:pPr>
            <w:pStyle w:val="TDC2"/>
            <w:tabs>
              <w:tab w:val="right" w:leader="dot" w:pos="9204"/>
            </w:tabs>
            <w:rPr>
              <w:rFonts w:cstheme="minorBidi"/>
              <w:noProof/>
            </w:rPr>
          </w:pPr>
          <w:hyperlink w:anchor="_Toc498519527" w:history="1">
            <w:r w:rsidRPr="004F70D0">
              <w:rPr>
                <w:rStyle w:val="Hipervnculo"/>
                <w:rFonts w:cstheme="minorHAnsi"/>
                <w:b/>
                <w:noProof/>
              </w:rPr>
              <w:t>h) Localización geográfica del proyecto.</w:t>
            </w:r>
            <w:r>
              <w:rPr>
                <w:noProof/>
                <w:webHidden/>
              </w:rPr>
              <w:tab/>
            </w:r>
            <w:r>
              <w:rPr>
                <w:noProof/>
                <w:webHidden/>
              </w:rPr>
              <w:fldChar w:fldCharType="begin"/>
            </w:r>
            <w:r>
              <w:rPr>
                <w:noProof/>
                <w:webHidden/>
              </w:rPr>
              <w:instrText xml:space="preserve"> PAGEREF _Toc498519527 \h </w:instrText>
            </w:r>
            <w:r>
              <w:rPr>
                <w:noProof/>
                <w:webHidden/>
              </w:rPr>
            </w:r>
            <w:r>
              <w:rPr>
                <w:noProof/>
                <w:webHidden/>
              </w:rPr>
              <w:fldChar w:fldCharType="separate"/>
            </w:r>
            <w:r>
              <w:rPr>
                <w:noProof/>
                <w:webHidden/>
              </w:rPr>
              <w:t>30</w:t>
            </w:r>
            <w:r>
              <w:rPr>
                <w:noProof/>
                <w:webHidden/>
              </w:rPr>
              <w:fldChar w:fldCharType="end"/>
            </w:r>
          </w:hyperlink>
        </w:p>
        <w:p w:rsidR="001700FE" w:rsidRDefault="001700FE">
          <w:pPr>
            <w:pStyle w:val="TDC3"/>
            <w:tabs>
              <w:tab w:val="right" w:leader="dot" w:pos="9204"/>
            </w:tabs>
            <w:rPr>
              <w:rFonts w:cstheme="minorBidi"/>
              <w:noProof/>
            </w:rPr>
          </w:pPr>
          <w:hyperlink w:anchor="_Toc498519528" w:history="1">
            <w:r w:rsidRPr="004F70D0">
              <w:rPr>
                <w:rStyle w:val="Hipervnculo"/>
                <w:noProof/>
              </w:rPr>
              <w:t>Tabla 23. Coordenadas del Libramiento de Tapachula.</w:t>
            </w:r>
            <w:r>
              <w:rPr>
                <w:noProof/>
                <w:webHidden/>
              </w:rPr>
              <w:tab/>
            </w:r>
            <w:r>
              <w:rPr>
                <w:noProof/>
                <w:webHidden/>
              </w:rPr>
              <w:fldChar w:fldCharType="begin"/>
            </w:r>
            <w:r>
              <w:rPr>
                <w:noProof/>
                <w:webHidden/>
              </w:rPr>
              <w:instrText xml:space="preserve"> PAGEREF _Toc498519528 \h </w:instrText>
            </w:r>
            <w:r>
              <w:rPr>
                <w:noProof/>
                <w:webHidden/>
              </w:rPr>
            </w:r>
            <w:r>
              <w:rPr>
                <w:noProof/>
                <w:webHidden/>
              </w:rPr>
              <w:fldChar w:fldCharType="separate"/>
            </w:r>
            <w:r>
              <w:rPr>
                <w:noProof/>
                <w:webHidden/>
              </w:rPr>
              <w:t>30</w:t>
            </w:r>
            <w:r>
              <w:rPr>
                <w:noProof/>
                <w:webHidden/>
              </w:rPr>
              <w:fldChar w:fldCharType="end"/>
            </w:r>
          </w:hyperlink>
        </w:p>
        <w:p w:rsidR="001700FE" w:rsidRDefault="001700FE">
          <w:pPr>
            <w:pStyle w:val="TDC3"/>
            <w:tabs>
              <w:tab w:val="right" w:leader="dot" w:pos="9204"/>
            </w:tabs>
            <w:rPr>
              <w:rFonts w:cstheme="minorBidi"/>
              <w:noProof/>
            </w:rPr>
          </w:pPr>
          <w:hyperlink w:anchor="_Toc498519529" w:history="1">
            <w:r w:rsidRPr="004F70D0">
              <w:rPr>
                <w:rStyle w:val="Hipervnculo"/>
                <w:noProof/>
              </w:rPr>
              <w:t>Tabla 24. Coordenadas del Puente Coatan.</w:t>
            </w:r>
            <w:r>
              <w:rPr>
                <w:noProof/>
                <w:webHidden/>
              </w:rPr>
              <w:tab/>
            </w:r>
            <w:r>
              <w:rPr>
                <w:noProof/>
                <w:webHidden/>
              </w:rPr>
              <w:fldChar w:fldCharType="begin"/>
            </w:r>
            <w:r>
              <w:rPr>
                <w:noProof/>
                <w:webHidden/>
              </w:rPr>
              <w:instrText xml:space="preserve"> PAGEREF _Toc498519529 \h </w:instrText>
            </w:r>
            <w:r>
              <w:rPr>
                <w:noProof/>
                <w:webHidden/>
              </w:rPr>
            </w:r>
            <w:r>
              <w:rPr>
                <w:noProof/>
                <w:webHidden/>
              </w:rPr>
              <w:fldChar w:fldCharType="separate"/>
            </w:r>
            <w:r>
              <w:rPr>
                <w:noProof/>
                <w:webHidden/>
              </w:rPr>
              <w:t>30</w:t>
            </w:r>
            <w:r>
              <w:rPr>
                <w:noProof/>
                <w:webHidden/>
              </w:rPr>
              <w:fldChar w:fldCharType="end"/>
            </w:r>
          </w:hyperlink>
        </w:p>
        <w:p w:rsidR="001700FE" w:rsidRDefault="001700FE">
          <w:pPr>
            <w:pStyle w:val="TDC3"/>
            <w:tabs>
              <w:tab w:val="right" w:leader="dot" w:pos="9204"/>
            </w:tabs>
            <w:rPr>
              <w:rFonts w:cstheme="minorBidi"/>
              <w:noProof/>
            </w:rPr>
          </w:pPr>
          <w:hyperlink w:anchor="_Toc498519530" w:history="1">
            <w:r w:rsidRPr="004F70D0">
              <w:rPr>
                <w:rStyle w:val="Hipervnculo"/>
                <w:noProof/>
              </w:rPr>
              <w:t>Tabla 24. Coordenadas del Puente Hidalgo.</w:t>
            </w:r>
            <w:r>
              <w:rPr>
                <w:noProof/>
                <w:webHidden/>
              </w:rPr>
              <w:tab/>
            </w:r>
            <w:r>
              <w:rPr>
                <w:noProof/>
                <w:webHidden/>
              </w:rPr>
              <w:fldChar w:fldCharType="begin"/>
            </w:r>
            <w:r>
              <w:rPr>
                <w:noProof/>
                <w:webHidden/>
              </w:rPr>
              <w:instrText xml:space="preserve"> PAGEREF _Toc498519530 \h </w:instrText>
            </w:r>
            <w:r>
              <w:rPr>
                <w:noProof/>
                <w:webHidden/>
              </w:rPr>
            </w:r>
            <w:r>
              <w:rPr>
                <w:noProof/>
                <w:webHidden/>
              </w:rPr>
              <w:fldChar w:fldCharType="separate"/>
            </w:r>
            <w:r>
              <w:rPr>
                <w:noProof/>
                <w:webHidden/>
              </w:rPr>
              <w:t>30</w:t>
            </w:r>
            <w:r>
              <w:rPr>
                <w:noProof/>
                <w:webHidden/>
              </w:rPr>
              <w:fldChar w:fldCharType="end"/>
            </w:r>
          </w:hyperlink>
        </w:p>
        <w:p w:rsidR="001700FE" w:rsidRDefault="001700FE">
          <w:pPr>
            <w:pStyle w:val="TDC3"/>
            <w:tabs>
              <w:tab w:val="right" w:leader="dot" w:pos="9204"/>
            </w:tabs>
            <w:rPr>
              <w:rFonts w:cstheme="minorBidi"/>
              <w:noProof/>
            </w:rPr>
          </w:pPr>
          <w:hyperlink w:anchor="_Toc498519531" w:history="1">
            <w:r w:rsidRPr="004F70D0">
              <w:rPr>
                <w:rStyle w:val="Hipervnculo"/>
                <w:noProof/>
              </w:rPr>
              <w:t>Tabla 25. Coordenadas del Paso Superior Ferroviario.</w:t>
            </w:r>
            <w:r>
              <w:rPr>
                <w:noProof/>
                <w:webHidden/>
              </w:rPr>
              <w:tab/>
            </w:r>
            <w:r>
              <w:rPr>
                <w:noProof/>
                <w:webHidden/>
              </w:rPr>
              <w:fldChar w:fldCharType="begin"/>
            </w:r>
            <w:r>
              <w:rPr>
                <w:noProof/>
                <w:webHidden/>
              </w:rPr>
              <w:instrText xml:space="preserve"> PAGEREF _Toc498519531 \h </w:instrText>
            </w:r>
            <w:r>
              <w:rPr>
                <w:noProof/>
                <w:webHidden/>
              </w:rPr>
            </w:r>
            <w:r>
              <w:rPr>
                <w:noProof/>
                <w:webHidden/>
              </w:rPr>
              <w:fldChar w:fldCharType="separate"/>
            </w:r>
            <w:r>
              <w:rPr>
                <w:noProof/>
                <w:webHidden/>
              </w:rPr>
              <w:t>31</w:t>
            </w:r>
            <w:r>
              <w:rPr>
                <w:noProof/>
                <w:webHidden/>
              </w:rPr>
              <w:fldChar w:fldCharType="end"/>
            </w:r>
          </w:hyperlink>
        </w:p>
        <w:p w:rsidR="001700FE" w:rsidRDefault="001700FE">
          <w:pPr>
            <w:pStyle w:val="TDC3"/>
            <w:tabs>
              <w:tab w:val="right" w:leader="dot" w:pos="9204"/>
            </w:tabs>
            <w:rPr>
              <w:rFonts w:cstheme="minorBidi"/>
              <w:noProof/>
            </w:rPr>
          </w:pPr>
          <w:hyperlink w:anchor="_Toc498519532" w:history="1">
            <w:r w:rsidRPr="004F70D0">
              <w:rPr>
                <w:rStyle w:val="Hipervnculo"/>
                <w:noProof/>
              </w:rPr>
              <w:t>Tabla 26. Coordenadas del Puente río Florido.</w:t>
            </w:r>
            <w:r>
              <w:rPr>
                <w:noProof/>
                <w:webHidden/>
              </w:rPr>
              <w:tab/>
            </w:r>
            <w:r>
              <w:rPr>
                <w:noProof/>
                <w:webHidden/>
              </w:rPr>
              <w:fldChar w:fldCharType="begin"/>
            </w:r>
            <w:r>
              <w:rPr>
                <w:noProof/>
                <w:webHidden/>
              </w:rPr>
              <w:instrText xml:space="preserve"> PAGEREF _Toc498519532 \h </w:instrText>
            </w:r>
            <w:r>
              <w:rPr>
                <w:noProof/>
                <w:webHidden/>
              </w:rPr>
            </w:r>
            <w:r>
              <w:rPr>
                <w:noProof/>
                <w:webHidden/>
              </w:rPr>
              <w:fldChar w:fldCharType="separate"/>
            </w:r>
            <w:r>
              <w:rPr>
                <w:noProof/>
                <w:webHidden/>
              </w:rPr>
              <w:t>31</w:t>
            </w:r>
            <w:r>
              <w:rPr>
                <w:noProof/>
                <w:webHidden/>
              </w:rPr>
              <w:fldChar w:fldCharType="end"/>
            </w:r>
          </w:hyperlink>
        </w:p>
        <w:p w:rsidR="001700FE" w:rsidRDefault="001700FE">
          <w:pPr>
            <w:pStyle w:val="TDC3"/>
            <w:tabs>
              <w:tab w:val="right" w:leader="dot" w:pos="9204"/>
            </w:tabs>
            <w:rPr>
              <w:rFonts w:cstheme="minorBidi"/>
              <w:noProof/>
            </w:rPr>
          </w:pPr>
          <w:hyperlink w:anchor="_Toc498519533" w:history="1">
            <w:r w:rsidRPr="004F70D0">
              <w:rPr>
                <w:rStyle w:val="Hipervnculo"/>
                <w:noProof/>
              </w:rPr>
              <w:t>Imagen 1. Localización del tramo de estudio y del proyecto.</w:t>
            </w:r>
            <w:r>
              <w:rPr>
                <w:noProof/>
                <w:webHidden/>
              </w:rPr>
              <w:tab/>
            </w:r>
            <w:r>
              <w:rPr>
                <w:noProof/>
                <w:webHidden/>
              </w:rPr>
              <w:fldChar w:fldCharType="begin"/>
            </w:r>
            <w:r>
              <w:rPr>
                <w:noProof/>
                <w:webHidden/>
              </w:rPr>
              <w:instrText xml:space="preserve"> PAGEREF _Toc498519533 \h </w:instrText>
            </w:r>
            <w:r>
              <w:rPr>
                <w:noProof/>
                <w:webHidden/>
              </w:rPr>
            </w:r>
            <w:r>
              <w:rPr>
                <w:noProof/>
                <w:webHidden/>
              </w:rPr>
              <w:fldChar w:fldCharType="separate"/>
            </w:r>
            <w:r>
              <w:rPr>
                <w:noProof/>
                <w:webHidden/>
              </w:rPr>
              <w:t>31</w:t>
            </w:r>
            <w:r>
              <w:rPr>
                <w:noProof/>
                <w:webHidden/>
              </w:rPr>
              <w:fldChar w:fldCharType="end"/>
            </w:r>
          </w:hyperlink>
        </w:p>
        <w:p w:rsidR="001700FE" w:rsidRDefault="001700FE">
          <w:pPr>
            <w:pStyle w:val="TDC2"/>
            <w:tabs>
              <w:tab w:val="right" w:leader="dot" w:pos="9204"/>
            </w:tabs>
            <w:rPr>
              <w:rFonts w:cstheme="minorBidi"/>
              <w:noProof/>
            </w:rPr>
          </w:pPr>
          <w:hyperlink w:anchor="_Toc498519534" w:history="1">
            <w:r w:rsidRPr="004F70D0">
              <w:rPr>
                <w:rStyle w:val="Hipervnculo"/>
                <w:rFonts w:cstheme="minorHAnsi"/>
                <w:b/>
                <w:noProof/>
              </w:rPr>
              <w:t>i) Fotografías.</w:t>
            </w:r>
            <w:r>
              <w:rPr>
                <w:noProof/>
                <w:webHidden/>
              </w:rPr>
              <w:tab/>
            </w:r>
            <w:r>
              <w:rPr>
                <w:noProof/>
                <w:webHidden/>
              </w:rPr>
              <w:fldChar w:fldCharType="begin"/>
            </w:r>
            <w:r>
              <w:rPr>
                <w:noProof/>
                <w:webHidden/>
              </w:rPr>
              <w:instrText xml:space="preserve"> PAGEREF _Toc498519534 \h </w:instrText>
            </w:r>
            <w:r>
              <w:rPr>
                <w:noProof/>
                <w:webHidden/>
              </w:rPr>
            </w:r>
            <w:r>
              <w:rPr>
                <w:noProof/>
                <w:webHidden/>
              </w:rPr>
              <w:fldChar w:fldCharType="separate"/>
            </w:r>
            <w:r>
              <w:rPr>
                <w:noProof/>
                <w:webHidden/>
              </w:rPr>
              <w:t>32</w:t>
            </w:r>
            <w:r>
              <w:rPr>
                <w:noProof/>
                <w:webHidden/>
              </w:rPr>
              <w:fldChar w:fldCharType="end"/>
            </w:r>
          </w:hyperlink>
        </w:p>
        <w:p w:rsidR="001700FE" w:rsidRDefault="001700FE">
          <w:pPr>
            <w:pStyle w:val="TDC3"/>
            <w:tabs>
              <w:tab w:val="right" w:leader="dot" w:pos="9204"/>
            </w:tabs>
            <w:rPr>
              <w:rFonts w:cstheme="minorBidi"/>
              <w:noProof/>
            </w:rPr>
          </w:pPr>
          <w:hyperlink w:anchor="_Toc498519535" w:history="1">
            <w:r w:rsidRPr="004F70D0">
              <w:rPr>
                <w:rStyle w:val="Hipervnculo"/>
                <w:noProof/>
              </w:rPr>
              <w:t>Imagen 2. Vía con basura en Tapachula.</w:t>
            </w:r>
            <w:r>
              <w:rPr>
                <w:noProof/>
                <w:webHidden/>
              </w:rPr>
              <w:tab/>
            </w:r>
            <w:r>
              <w:rPr>
                <w:noProof/>
                <w:webHidden/>
              </w:rPr>
              <w:fldChar w:fldCharType="begin"/>
            </w:r>
            <w:r>
              <w:rPr>
                <w:noProof/>
                <w:webHidden/>
              </w:rPr>
              <w:instrText xml:space="preserve"> PAGEREF _Toc498519535 \h </w:instrText>
            </w:r>
            <w:r>
              <w:rPr>
                <w:noProof/>
                <w:webHidden/>
              </w:rPr>
            </w:r>
            <w:r>
              <w:rPr>
                <w:noProof/>
                <w:webHidden/>
              </w:rPr>
              <w:fldChar w:fldCharType="separate"/>
            </w:r>
            <w:r>
              <w:rPr>
                <w:noProof/>
                <w:webHidden/>
              </w:rPr>
              <w:t>32</w:t>
            </w:r>
            <w:r>
              <w:rPr>
                <w:noProof/>
                <w:webHidden/>
              </w:rPr>
              <w:fldChar w:fldCharType="end"/>
            </w:r>
          </w:hyperlink>
        </w:p>
        <w:p w:rsidR="001700FE" w:rsidRDefault="001700FE">
          <w:pPr>
            <w:pStyle w:val="TDC3"/>
            <w:tabs>
              <w:tab w:val="right" w:leader="dot" w:pos="9204"/>
            </w:tabs>
            <w:rPr>
              <w:rFonts w:cstheme="minorBidi"/>
              <w:noProof/>
            </w:rPr>
          </w:pPr>
          <w:hyperlink w:anchor="_Toc498519536" w:history="1">
            <w:r w:rsidRPr="004F70D0">
              <w:rPr>
                <w:rStyle w:val="Hipervnculo"/>
                <w:noProof/>
              </w:rPr>
              <w:t>Imagen 3. Inicio del Libramiento ferroviario de Tapachula.</w:t>
            </w:r>
            <w:r>
              <w:rPr>
                <w:noProof/>
                <w:webHidden/>
              </w:rPr>
              <w:tab/>
            </w:r>
            <w:r>
              <w:rPr>
                <w:noProof/>
                <w:webHidden/>
              </w:rPr>
              <w:fldChar w:fldCharType="begin"/>
            </w:r>
            <w:r>
              <w:rPr>
                <w:noProof/>
                <w:webHidden/>
              </w:rPr>
              <w:instrText xml:space="preserve"> PAGEREF _Toc498519536 \h </w:instrText>
            </w:r>
            <w:r>
              <w:rPr>
                <w:noProof/>
                <w:webHidden/>
              </w:rPr>
            </w:r>
            <w:r>
              <w:rPr>
                <w:noProof/>
                <w:webHidden/>
              </w:rPr>
              <w:fldChar w:fldCharType="separate"/>
            </w:r>
            <w:r>
              <w:rPr>
                <w:noProof/>
                <w:webHidden/>
              </w:rPr>
              <w:t>32</w:t>
            </w:r>
            <w:r>
              <w:rPr>
                <w:noProof/>
                <w:webHidden/>
              </w:rPr>
              <w:fldChar w:fldCharType="end"/>
            </w:r>
          </w:hyperlink>
        </w:p>
        <w:p w:rsidR="001700FE" w:rsidRDefault="001700FE">
          <w:pPr>
            <w:pStyle w:val="TDC3"/>
            <w:tabs>
              <w:tab w:val="right" w:leader="dot" w:pos="9204"/>
            </w:tabs>
            <w:rPr>
              <w:rFonts w:cstheme="minorBidi"/>
              <w:noProof/>
            </w:rPr>
          </w:pPr>
          <w:hyperlink w:anchor="_Toc498519537" w:history="1">
            <w:r w:rsidRPr="004F70D0">
              <w:rPr>
                <w:rStyle w:val="Hipervnculo"/>
                <w:noProof/>
              </w:rPr>
              <w:t>Imagen 4. Vegetación en el  Libramiento ferroviario de Tapachula.</w:t>
            </w:r>
            <w:r>
              <w:rPr>
                <w:noProof/>
                <w:webHidden/>
              </w:rPr>
              <w:tab/>
            </w:r>
            <w:r>
              <w:rPr>
                <w:noProof/>
                <w:webHidden/>
              </w:rPr>
              <w:fldChar w:fldCharType="begin"/>
            </w:r>
            <w:r>
              <w:rPr>
                <w:noProof/>
                <w:webHidden/>
              </w:rPr>
              <w:instrText xml:space="preserve"> PAGEREF _Toc498519537 \h </w:instrText>
            </w:r>
            <w:r>
              <w:rPr>
                <w:noProof/>
                <w:webHidden/>
              </w:rPr>
            </w:r>
            <w:r>
              <w:rPr>
                <w:noProof/>
                <w:webHidden/>
              </w:rPr>
              <w:fldChar w:fldCharType="separate"/>
            </w:r>
            <w:r>
              <w:rPr>
                <w:noProof/>
                <w:webHidden/>
              </w:rPr>
              <w:t>33</w:t>
            </w:r>
            <w:r>
              <w:rPr>
                <w:noProof/>
                <w:webHidden/>
              </w:rPr>
              <w:fldChar w:fldCharType="end"/>
            </w:r>
          </w:hyperlink>
        </w:p>
        <w:p w:rsidR="001700FE" w:rsidRDefault="001700FE">
          <w:pPr>
            <w:pStyle w:val="TDC3"/>
            <w:tabs>
              <w:tab w:val="right" w:leader="dot" w:pos="9204"/>
            </w:tabs>
            <w:rPr>
              <w:rFonts w:cstheme="minorBidi"/>
              <w:noProof/>
            </w:rPr>
          </w:pPr>
          <w:hyperlink w:anchor="_Toc498519538" w:history="1">
            <w:r w:rsidRPr="004F70D0">
              <w:rPr>
                <w:rStyle w:val="Hipervnculo"/>
                <w:noProof/>
              </w:rPr>
              <w:t>Imagen 5. Paso Superior Ferroviario.</w:t>
            </w:r>
            <w:r>
              <w:rPr>
                <w:noProof/>
                <w:webHidden/>
              </w:rPr>
              <w:tab/>
            </w:r>
            <w:r>
              <w:rPr>
                <w:noProof/>
                <w:webHidden/>
              </w:rPr>
              <w:fldChar w:fldCharType="begin"/>
            </w:r>
            <w:r>
              <w:rPr>
                <w:noProof/>
                <w:webHidden/>
              </w:rPr>
              <w:instrText xml:space="preserve"> PAGEREF _Toc498519538 \h </w:instrText>
            </w:r>
            <w:r>
              <w:rPr>
                <w:noProof/>
                <w:webHidden/>
              </w:rPr>
            </w:r>
            <w:r>
              <w:rPr>
                <w:noProof/>
                <w:webHidden/>
              </w:rPr>
              <w:fldChar w:fldCharType="separate"/>
            </w:r>
            <w:r>
              <w:rPr>
                <w:noProof/>
                <w:webHidden/>
              </w:rPr>
              <w:t>33</w:t>
            </w:r>
            <w:r>
              <w:rPr>
                <w:noProof/>
                <w:webHidden/>
              </w:rPr>
              <w:fldChar w:fldCharType="end"/>
            </w:r>
          </w:hyperlink>
        </w:p>
        <w:p w:rsidR="001700FE" w:rsidRDefault="001700FE">
          <w:pPr>
            <w:pStyle w:val="TDC3"/>
            <w:tabs>
              <w:tab w:val="right" w:leader="dot" w:pos="9204"/>
            </w:tabs>
            <w:rPr>
              <w:rFonts w:cstheme="minorBidi"/>
              <w:noProof/>
            </w:rPr>
          </w:pPr>
          <w:hyperlink w:anchor="_Toc498519539" w:history="1">
            <w:r w:rsidRPr="004F70D0">
              <w:rPr>
                <w:rStyle w:val="Hipervnculo"/>
                <w:noProof/>
              </w:rPr>
              <w:t>Imagen 5. Condiciones Paso Superior Ferroviario.</w:t>
            </w:r>
            <w:r>
              <w:rPr>
                <w:noProof/>
                <w:webHidden/>
              </w:rPr>
              <w:tab/>
            </w:r>
            <w:r>
              <w:rPr>
                <w:noProof/>
                <w:webHidden/>
              </w:rPr>
              <w:fldChar w:fldCharType="begin"/>
            </w:r>
            <w:r>
              <w:rPr>
                <w:noProof/>
                <w:webHidden/>
              </w:rPr>
              <w:instrText xml:space="preserve"> PAGEREF _Toc498519539 \h </w:instrText>
            </w:r>
            <w:r>
              <w:rPr>
                <w:noProof/>
                <w:webHidden/>
              </w:rPr>
            </w:r>
            <w:r>
              <w:rPr>
                <w:noProof/>
                <w:webHidden/>
              </w:rPr>
              <w:fldChar w:fldCharType="separate"/>
            </w:r>
            <w:r>
              <w:rPr>
                <w:noProof/>
                <w:webHidden/>
              </w:rPr>
              <w:t>34</w:t>
            </w:r>
            <w:r>
              <w:rPr>
                <w:noProof/>
                <w:webHidden/>
              </w:rPr>
              <w:fldChar w:fldCharType="end"/>
            </w:r>
          </w:hyperlink>
        </w:p>
        <w:p w:rsidR="001700FE" w:rsidRDefault="001700FE">
          <w:pPr>
            <w:pStyle w:val="TDC1"/>
            <w:tabs>
              <w:tab w:val="right" w:leader="dot" w:pos="9204"/>
            </w:tabs>
            <w:rPr>
              <w:rFonts w:cstheme="minorBidi"/>
              <w:noProof/>
            </w:rPr>
          </w:pPr>
          <w:hyperlink w:anchor="_Toc498519540" w:history="1">
            <w:r w:rsidRPr="004F70D0">
              <w:rPr>
                <w:rStyle w:val="Hipervnculo"/>
                <w:noProof/>
                <w:lang w:val="es-ES_tradnl"/>
              </w:rPr>
              <w:t>Conclusiones y Recomendaciones.</w:t>
            </w:r>
            <w:r>
              <w:rPr>
                <w:noProof/>
                <w:webHidden/>
              </w:rPr>
              <w:tab/>
            </w:r>
            <w:r>
              <w:rPr>
                <w:noProof/>
                <w:webHidden/>
              </w:rPr>
              <w:fldChar w:fldCharType="begin"/>
            </w:r>
            <w:r>
              <w:rPr>
                <w:noProof/>
                <w:webHidden/>
              </w:rPr>
              <w:instrText xml:space="preserve"> PAGEREF _Toc498519540 \h </w:instrText>
            </w:r>
            <w:r>
              <w:rPr>
                <w:noProof/>
                <w:webHidden/>
              </w:rPr>
            </w:r>
            <w:r>
              <w:rPr>
                <w:noProof/>
                <w:webHidden/>
              </w:rPr>
              <w:fldChar w:fldCharType="separate"/>
            </w:r>
            <w:r>
              <w:rPr>
                <w:noProof/>
                <w:webHidden/>
              </w:rPr>
              <w:t>35</w:t>
            </w:r>
            <w:r>
              <w:rPr>
                <w:noProof/>
                <w:webHidden/>
              </w:rPr>
              <w:fldChar w:fldCharType="end"/>
            </w:r>
          </w:hyperlink>
        </w:p>
        <w:p w:rsidR="001700FE" w:rsidRDefault="001700FE">
          <w:pPr>
            <w:pStyle w:val="TDC1"/>
            <w:tabs>
              <w:tab w:val="right" w:leader="dot" w:pos="9204"/>
            </w:tabs>
            <w:rPr>
              <w:rFonts w:cstheme="minorBidi"/>
              <w:noProof/>
            </w:rPr>
          </w:pPr>
          <w:hyperlink w:anchor="_Toc498519541" w:history="1">
            <w:r w:rsidRPr="004F70D0">
              <w:rPr>
                <w:rStyle w:val="Hipervnculo"/>
                <w:rFonts w:cstheme="minorHAnsi"/>
                <w:noProof/>
              </w:rPr>
              <w:t>Anexo 1 Cálculo estimado de siniestro en el caso de la explosión.</w:t>
            </w:r>
            <w:r>
              <w:rPr>
                <w:noProof/>
                <w:webHidden/>
              </w:rPr>
              <w:tab/>
            </w:r>
            <w:r>
              <w:rPr>
                <w:noProof/>
                <w:webHidden/>
              </w:rPr>
              <w:fldChar w:fldCharType="begin"/>
            </w:r>
            <w:r>
              <w:rPr>
                <w:noProof/>
                <w:webHidden/>
              </w:rPr>
              <w:instrText xml:space="preserve"> PAGEREF _Toc498519541 \h </w:instrText>
            </w:r>
            <w:r>
              <w:rPr>
                <w:noProof/>
                <w:webHidden/>
              </w:rPr>
            </w:r>
            <w:r>
              <w:rPr>
                <w:noProof/>
                <w:webHidden/>
              </w:rPr>
              <w:fldChar w:fldCharType="separate"/>
            </w:r>
            <w:r>
              <w:rPr>
                <w:noProof/>
                <w:webHidden/>
              </w:rPr>
              <w:t>36</w:t>
            </w:r>
            <w:r>
              <w:rPr>
                <w:noProof/>
                <w:webHidden/>
              </w:rPr>
              <w:fldChar w:fldCharType="end"/>
            </w:r>
          </w:hyperlink>
        </w:p>
        <w:p w:rsidR="001700FE" w:rsidRDefault="001700FE">
          <w:pPr>
            <w:pStyle w:val="TDC1"/>
            <w:tabs>
              <w:tab w:val="right" w:leader="dot" w:pos="9204"/>
            </w:tabs>
            <w:rPr>
              <w:rFonts w:cstheme="minorBidi"/>
              <w:noProof/>
            </w:rPr>
          </w:pPr>
          <w:hyperlink w:anchor="_Toc498519542" w:history="1">
            <w:r w:rsidRPr="004F70D0">
              <w:rPr>
                <w:rStyle w:val="Hipervnculo"/>
                <w:rFonts w:eastAsia="Times New Roman" w:cstheme="minorHAnsi"/>
                <w:b/>
                <w:bCs/>
                <w:noProof/>
              </w:rPr>
              <w:t>Bibliografía</w:t>
            </w:r>
            <w:r>
              <w:rPr>
                <w:noProof/>
                <w:webHidden/>
              </w:rPr>
              <w:tab/>
            </w:r>
            <w:r>
              <w:rPr>
                <w:noProof/>
                <w:webHidden/>
              </w:rPr>
              <w:fldChar w:fldCharType="begin"/>
            </w:r>
            <w:r>
              <w:rPr>
                <w:noProof/>
                <w:webHidden/>
              </w:rPr>
              <w:instrText xml:space="preserve"> PAGEREF _Toc498519542 \h </w:instrText>
            </w:r>
            <w:r>
              <w:rPr>
                <w:noProof/>
                <w:webHidden/>
              </w:rPr>
            </w:r>
            <w:r>
              <w:rPr>
                <w:noProof/>
                <w:webHidden/>
              </w:rPr>
              <w:fldChar w:fldCharType="separate"/>
            </w:r>
            <w:r>
              <w:rPr>
                <w:noProof/>
                <w:webHidden/>
              </w:rPr>
              <w:t>37</w:t>
            </w:r>
            <w:r>
              <w:rPr>
                <w:noProof/>
                <w:webHidden/>
              </w:rPr>
              <w:fldChar w:fldCharType="end"/>
            </w:r>
          </w:hyperlink>
        </w:p>
        <w:p w:rsidR="005C6A73" w:rsidRDefault="005C6A73" w:rsidP="005C6A73">
          <w:pPr>
            <w:rPr>
              <w:b/>
            </w:rPr>
          </w:pPr>
          <w:r w:rsidRPr="005C6A73">
            <w:rPr>
              <w:b/>
              <w:bCs/>
              <w:sz w:val="18"/>
              <w:lang w:val="es-ES"/>
            </w:rPr>
            <w:fldChar w:fldCharType="end"/>
          </w:r>
        </w:p>
      </w:sdtContent>
    </w:sdt>
    <w:p w:rsidR="008C1B23" w:rsidRDefault="008C1B23" w:rsidP="008C1B23">
      <w:pPr>
        <w:rPr>
          <w:lang w:val="es-ES_tradnl"/>
        </w:rPr>
      </w:pPr>
      <w:bookmarkStart w:id="0" w:name="_Toc454708595"/>
    </w:p>
    <w:p w:rsidR="001700FE" w:rsidRDefault="001700FE" w:rsidP="008C1B23">
      <w:pPr>
        <w:rPr>
          <w:lang w:val="es-ES_tradnl"/>
        </w:rPr>
      </w:pPr>
    </w:p>
    <w:p w:rsidR="001700FE" w:rsidRDefault="001700FE" w:rsidP="008C1B23">
      <w:pPr>
        <w:rPr>
          <w:lang w:val="es-ES_tradnl"/>
        </w:rPr>
      </w:pPr>
    </w:p>
    <w:p w:rsidR="008C1B23" w:rsidRDefault="008C1B23" w:rsidP="008C1B23">
      <w:pPr>
        <w:rPr>
          <w:lang w:val="es-ES_tradnl"/>
        </w:rPr>
      </w:pPr>
    </w:p>
    <w:p w:rsidR="007353E9" w:rsidRPr="008C1B23" w:rsidRDefault="007353E9" w:rsidP="007353E9">
      <w:pPr>
        <w:pStyle w:val="Ttulo1"/>
        <w:rPr>
          <w:rFonts w:asciiTheme="minorHAnsi" w:hAnsiTheme="minorHAnsi"/>
          <w:sz w:val="24"/>
          <w:lang w:val="es-ES_tradnl"/>
        </w:rPr>
      </w:pPr>
      <w:bookmarkStart w:id="1" w:name="_Toc498519455"/>
      <w:r w:rsidRPr="008C1B23">
        <w:rPr>
          <w:rFonts w:asciiTheme="minorHAnsi" w:hAnsiTheme="minorHAnsi"/>
          <w:sz w:val="24"/>
          <w:lang w:val="es-ES_tradnl"/>
        </w:rPr>
        <w:lastRenderedPageBreak/>
        <w:t>Definiciones</w:t>
      </w:r>
      <w:bookmarkEnd w:id="0"/>
      <w:bookmarkEnd w:id="1"/>
    </w:p>
    <w:p w:rsidR="007353E9" w:rsidRPr="007E07AD" w:rsidRDefault="007353E9" w:rsidP="007353E9">
      <w:pPr>
        <w:pStyle w:val="Prrafodelista"/>
        <w:numPr>
          <w:ilvl w:val="0"/>
          <w:numId w:val="3"/>
        </w:numPr>
        <w:spacing w:after="0" w:line="276" w:lineRule="auto"/>
        <w:jc w:val="both"/>
        <w:rPr>
          <w:lang w:val="es-ES_tradnl"/>
        </w:rPr>
      </w:pPr>
      <w:r>
        <w:rPr>
          <w:b/>
          <w:lang w:val="es-ES_tradnl"/>
        </w:rPr>
        <w:t xml:space="preserve">Cartera: </w:t>
      </w:r>
      <w:r w:rsidRPr="007E07AD">
        <w:rPr>
          <w:lang w:val="es-ES_tradnl"/>
        </w:rPr>
        <w:t>Los programas y proyectos de inversión de conformidad con lo establecido en los artículos 34, fracción III, de la Ley Federal de Presupuesto y Responsabilidad Hacendaria y 46, del Reglamento de la Ley Federal de Presupuesto y Responsabilidad Hacendaria.</w:t>
      </w:r>
    </w:p>
    <w:p w:rsidR="007353E9" w:rsidRPr="007E07AD" w:rsidRDefault="007353E9" w:rsidP="007353E9">
      <w:pPr>
        <w:pStyle w:val="Prrafodelista"/>
        <w:numPr>
          <w:ilvl w:val="0"/>
          <w:numId w:val="3"/>
        </w:numPr>
        <w:spacing w:after="0" w:line="276" w:lineRule="auto"/>
        <w:jc w:val="both"/>
        <w:rPr>
          <w:lang w:val="es-ES_tradnl"/>
        </w:rPr>
      </w:pPr>
      <w:r w:rsidRPr="007E07AD">
        <w:rPr>
          <w:b/>
          <w:lang w:val="es-ES_tradnl"/>
        </w:rPr>
        <w:t>Dependencias</w:t>
      </w:r>
      <w:r>
        <w:rPr>
          <w:b/>
          <w:lang w:val="es-ES_tradnl"/>
        </w:rPr>
        <w:t>:</w:t>
      </w:r>
      <w:r w:rsidRPr="007E07AD">
        <w:rPr>
          <w:b/>
          <w:lang w:val="es-ES_tradnl"/>
        </w:rPr>
        <w:t xml:space="preserve"> </w:t>
      </w:r>
      <w:r w:rsidRPr="007E07AD">
        <w:rPr>
          <w:lang w:val="es-ES_tradnl"/>
        </w:rPr>
        <w:t>Las Secretarías de Estado, incluyendo a sus respectivos órganos administrativos desconcentrados; Órganos Reguladores Coordinados en Materia Energética, y la Consejería Jurídica del Ejecutivo Federal, así como la Oficina de la Presidencia de la República y la Procuraduría General de la República. Asimismo, aquellos ejecutores de gasto a quienes se les otorga un tratamiento equivalente en los términos del artículo 4, de la Ley Federal de Presupuesto y Responsabilidad Hacendaria.</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t xml:space="preserve">Entidades: </w:t>
      </w:r>
      <w:r w:rsidRPr="007E07AD">
        <w:rPr>
          <w:lang w:val="es-ES_tradnl"/>
        </w:rPr>
        <w:t xml:space="preserve">Los organismos descentralizados, empresas de participación estatal y fideicomisos públicos, que de conformidad con la Ley Orgánica de la Administración Pública Federal sean considerados entidades paraestatales. </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t xml:space="preserve">Etapa de ejecución: </w:t>
      </w:r>
      <w:r w:rsidRPr="007E07AD">
        <w:rPr>
          <w:lang w:val="es-ES_tradnl"/>
        </w:rPr>
        <w:t>Acciones que se realizan para producir los componentes de un programa o proyecto de inversión, proyecto de infraestructura productiva de largo plazo o proyecto de asociación público privada, con base en una planeación de características de los componentes, tiempo de conclusión y costos en que se incurren.</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t xml:space="preserve">Evaluación ex post: </w:t>
      </w:r>
      <w:r w:rsidRPr="007E07AD">
        <w:rPr>
          <w:lang w:val="es-ES_tradnl"/>
        </w:rPr>
        <w:t>El análisis que realiza la Dependencia o Entidad encargada de la realización de un programa o proyecto de inversión, proyecto de infraestructura productiva de largo plazo o proyecto de asociación púbica privada utilizando información observada de costos y beneficios una vez que el mismo se encuentra en la etapa de operación, La evaluación ex post podrá ser de Corto plazo y Mediano plazo.</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t xml:space="preserve">Externalidad: </w:t>
      </w:r>
      <w:r w:rsidRPr="007E07AD">
        <w:rPr>
          <w:lang w:val="es-ES_tradnl"/>
        </w:rPr>
        <w:t>Efectos positivos y/o negativos que cause el programa o proyectos de inversión, proyecto de infraestructura productiva de largo plazo o proyecto de asociación publico privada a terceros y que o haya sido retribuidos o compensados a los mismos.</w:t>
      </w:r>
    </w:p>
    <w:p w:rsidR="007353E9" w:rsidRPr="007E07AD" w:rsidRDefault="007353E9" w:rsidP="007353E9">
      <w:pPr>
        <w:pStyle w:val="Prrafodelista"/>
        <w:numPr>
          <w:ilvl w:val="0"/>
          <w:numId w:val="3"/>
        </w:numPr>
        <w:spacing w:after="0" w:line="276" w:lineRule="auto"/>
        <w:jc w:val="both"/>
        <w:rPr>
          <w:b/>
          <w:lang w:val="es-ES_tradnl"/>
        </w:rPr>
      </w:pPr>
      <w:r>
        <w:rPr>
          <w:b/>
          <w:lang w:val="es-ES_tradnl"/>
        </w:rPr>
        <w:t xml:space="preserve">Indicadores de rentabilidad: </w:t>
      </w:r>
      <w:r w:rsidRPr="007E07AD">
        <w:rPr>
          <w:lang w:val="es-ES_tradnl"/>
        </w:rPr>
        <w:t>Costo Anual Equivalente (CAE), Valor Presente Neto (VPN), Tasa Interna de Retorno (TIR), Tasa de Rentabilidad Inmediata (TRI).</w:t>
      </w:r>
    </w:p>
    <w:p w:rsidR="007353E9" w:rsidRPr="00952A86" w:rsidRDefault="007353E9" w:rsidP="007353E9">
      <w:pPr>
        <w:pStyle w:val="Prrafodelista"/>
        <w:numPr>
          <w:ilvl w:val="0"/>
          <w:numId w:val="3"/>
        </w:numPr>
        <w:spacing w:after="0" w:line="276" w:lineRule="auto"/>
        <w:jc w:val="both"/>
        <w:rPr>
          <w:lang w:val="es-ES_tradnl"/>
        </w:rPr>
      </w:pPr>
      <w:r w:rsidRPr="007E07AD">
        <w:rPr>
          <w:b/>
          <w:lang w:val="es-ES_tradnl"/>
        </w:rPr>
        <w:t>I</w:t>
      </w:r>
      <w:r>
        <w:rPr>
          <w:b/>
          <w:lang w:val="es-ES_tradnl"/>
        </w:rPr>
        <w:t xml:space="preserve">nforme de ejecución: </w:t>
      </w:r>
      <w:r w:rsidRPr="007E07AD">
        <w:rPr>
          <w:lang w:val="es-ES_tradnl"/>
        </w:rPr>
        <w:t>Informe relativo al periodo inmediato posterior al final de la Etapa de ejecución del programa o proyecto de inversión, proyecto de infraestructura productiva de largo plazo o proyecto de asociación público privada, y previo al inicio de operaciones en los términos referidos en estos lineamientos.</w:t>
      </w:r>
    </w:p>
    <w:p w:rsidR="007353E9" w:rsidRPr="007E07AD" w:rsidRDefault="007353E9" w:rsidP="007353E9">
      <w:pPr>
        <w:pStyle w:val="Prrafodelista"/>
        <w:numPr>
          <w:ilvl w:val="0"/>
          <w:numId w:val="3"/>
        </w:numPr>
        <w:spacing w:after="0" w:line="276" w:lineRule="auto"/>
        <w:jc w:val="both"/>
        <w:rPr>
          <w:b/>
          <w:lang w:val="es-ES_tradnl"/>
        </w:rPr>
      </w:pPr>
      <w:r w:rsidRPr="007E07AD">
        <w:rPr>
          <w:b/>
          <w:lang w:val="es-ES_tradnl"/>
        </w:rPr>
        <w:t>I</w:t>
      </w:r>
      <w:r>
        <w:rPr>
          <w:b/>
          <w:lang w:val="es-ES_tradnl"/>
        </w:rPr>
        <w:t xml:space="preserve">ngresos propios: </w:t>
      </w:r>
      <w:r w:rsidRPr="007E07AD">
        <w:rPr>
          <w:lang w:val="es-ES_tradnl"/>
        </w:rPr>
        <w:t>Los recursos generados por los Poderes Legislativo y Judicial, organismos autónomos y municipios; así como las entidades paraestatales o paramunicipales respectivas, en el entendido de que para el caso de Entidades de la Administración</w:t>
      </w:r>
      <w:r w:rsidRPr="007E07AD">
        <w:rPr>
          <w:b/>
          <w:lang w:val="es-ES_tradnl"/>
        </w:rPr>
        <w:t xml:space="preserve"> </w:t>
      </w:r>
      <w:r w:rsidRPr="007E07AD">
        <w:rPr>
          <w:lang w:val="es-ES_tradnl"/>
        </w:rPr>
        <w:t>Pública Federal se estarán a lo dispuesto por el artículo 2, fracción XXXI, de la Ley Federal de Presupuesto y Responsabilidad Hacendaria</w:t>
      </w:r>
      <w:r w:rsidRPr="007E07AD">
        <w:rPr>
          <w:b/>
          <w:lang w:val="es-ES_tradnl"/>
        </w:rPr>
        <w:t xml:space="preserve">. </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t>Lineamientos:</w:t>
      </w:r>
      <w:r w:rsidRPr="007E07AD">
        <w:rPr>
          <w:b/>
          <w:lang w:val="es-ES_tradnl"/>
        </w:rPr>
        <w:t xml:space="preserve"> </w:t>
      </w:r>
      <w:r w:rsidRPr="007E07AD">
        <w:rPr>
          <w:lang w:val="es-ES_tradnl"/>
        </w:rPr>
        <w:t xml:space="preserve">Los Lineamientos para la elaboración y presentación del Informe de ejecución y Evaluación ex post de los programas y proyectos de inversión, proyectos de infraestructura productiva de largo plazo y proyectos de asociaciones público privadas de la Administración Pública Federal. </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lastRenderedPageBreak/>
        <w:t>Mediano plazo:</w:t>
      </w:r>
      <w:r w:rsidRPr="007E07AD">
        <w:rPr>
          <w:b/>
          <w:lang w:val="es-ES_tradnl"/>
        </w:rPr>
        <w:t xml:space="preserve"> </w:t>
      </w:r>
      <w:r w:rsidRPr="007E07AD">
        <w:rPr>
          <w:lang w:val="es-ES_tradnl"/>
        </w:rPr>
        <w:t xml:space="preserve">Periodo de tiempo de cinco años, contados a partir del inicio de operaciones del programa o proyecto de inversión, proyecto de infraestructura productiva de largo plazo o proyecto de asociación público privada. </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t xml:space="preserve">Monto de inversión ejercido: </w:t>
      </w:r>
      <w:r w:rsidRPr="007E07AD">
        <w:rPr>
          <w:lang w:val="es-ES_tradnl"/>
        </w:rPr>
        <w:t xml:space="preserve">En el caso de los recursos fiscales, se refiere al monto que refleja la emisión de una cuenta por liquidar certificada, debidamente aprobada por la autoridad competente. </w:t>
      </w:r>
    </w:p>
    <w:p w:rsidR="007353E9" w:rsidRPr="007E07AD" w:rsidRDefault="007353E9" w:rsidP="007353E9">
      <w:pPr>
        <w:pStyle w:val="Prrafodelista"/>
        <w:numPr>
          <w:ilvl w:val="2"/>
          <w:numId w:val="3"/>
        </w:numPr>
        <w:spacing w:after="0" w:line="276" w:lineRule="auto"/>
        <w:jc w:val="both"/>
        <w:rPr>
          <w:lang w:val="es-ES_tradnl"/>
        </w:rPr>
      </w:pPr>
      <w:r w:rsidRPr="007E07AD">
        <w:rPr>
          <w:lang w:val="es-ES_tradnl"/>
        </w:rPr>
        <w:t xml:space="preserve">En el caso de reflejar el corte para la Cuenta de la Hacienda Pública Federal, éste comprende el presupuesto pagado más los adeudos de ejercicios fiscales anteriores. </w:t>
      </w:r>
    </w:p>
    <w:p w:rsidR="007353E9" w:rsidRPr="007E07AD" w:rsidRDefault="007353E9" w:rsidP="007353E9">
      <w:pPr>
        <w:pStyle w:val="Prrafodelista"/>
        <w:numPr>
          <w:ilvl w:val="2"/>
          <w:numId w:val="3"/>
        </w:numPr>
        <w:spacing w:after="0" w:line="276" w:lineRule="auto"/>
        <w:jc w:val="both"/>
        <w:rPr>
          <w:lang w:val="es-ES_tradnl"/>
        </w:rPr>
      </w:pPr>
      <w:r w:rsidRPr="007E07AD">
        <w:rPr>
          <w:lang w:val="es-ES_tradnl"/>
        </w:rPr>
        <w:t xml:space="preserve">Tratándose de ingresos propios únicamente se considerará el monto pagado, de acuerdo al flujo de efectivo más el pago de pasivo circulante del ejercicio fiscal anterior. </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t xml:space="preserve">Monto de inversión pagado: </w:t>
      </w:r>
      <w:r w:rsidRPr="007E07AD">
        <w:rPr>
          <w:lang w:val="es-ES_tradnl"/>
        </w:rPr>
        <w:t>El gasto que refleja la cancelación total o parcial de las obligaciones de pago, que se concreta mediante el desembolso de efectivo o cualquier otro medio de pago.</w:t>
      </w:r>
    </w:p>
    <w:p w:rsidR="007353E9" w:rsidRPr="007E07AD" w:rsidRDefault="007353E9" w:rsidP="007353E9">
      <w:pPr>
        <w:pStyle w:val="Prrafodelista"/>
        <w:numPr>
          <w:ilvl w:val="0"/>
          <w:numId w:val="3"/>
        </w:numPr>
        <w:spacing w:after="0" w:line="276" w:lineRule="auto"/>
        <w:jc w:val="both"/>
        <w:rPr>
          <w:lang w:val="es-ES_tradnl"/>
        </w:rPr>
      </w:pPr>
      <w:r>
        <w:rPr>
          <w:b/>
          <w:lang w:val="es-ES_tradnl"/>
        </w:rPr>
        <w:t xml:space="preserve">Monto de inversión devengado: </w:t>
      </w:r>
      <w:r w:rsidRPr="007E07AD">
        <w:rPr>
          <w:lang w:val="es-ES_tradnl"/>
        </w:rPr>
        <w:t xml:space="preserve">El momento contable 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 de conformidad con las disposiciones jurídicas aplicables. </w:t>
      </w:r>
    </w:p>
    <w:p w:rsidR="007353E9" w:rsidRPr="00152233" w:rsidRDefault="007353E9" w:rsidP="007353E9">
      <w:pPr>
        <w:pStyle w:val="Prrafodelista"/>
        <w:numPr>
          <w:ilvl w:val="0"/>
          <w:numId w:val="3"/>
        </w:numPr>
        <w:spacing w:after="0" w:line="276" w:lineRule="auto"/>
        <w:jc w:val="both"/>
        <w:rPr>
          <w:lang w:val="es-ES_tradnl"/>
        </w:rPr>
      </w:pPr>
      <w:r>
        <w:rPr>
          <w:b/>
          <w:lang w:val="es-ES_tradnl"/>
        </w:rPr>
        <w:t xml:space="preserve">Precios sociales: </w:t>
      </w:r>
      <w:r w:rsidRPr="007E07AD">
        <w:rPr>
          <w:lang w:val="es-ES_tradnl"/>
        </w:rPr>
        <w:t xml:space="preserve">Los valores que reflejan el costo de oportunidad para la sociedad de utilizar un bien o servicio y que pueden diferir de los precios de mercado. </w:t>
      </w:r>
    </w:p>
    <w:p w:rsidR="007353E9" w:rsidRPr="007E07AD" w:rsidRDefault="007353E9" w:rsidP="007353E9">
      <w:pPr>
        <w:pStyle w:val="Prrafodelista"/>
        <w:numPr>
          <w:ilvl w:val="0"/>
          <w:numId w:val="3"/>
        </w:numPr>
        <w:spacing w:after="0" w:line="276" w:lineRule="auto"/>
        <w:jc w:val="both"/>
        <w:rPr>
          <w:lang w:val="es-ES_tradnl"/>
        </w:rPr>
      </w:pPr>
      <w:r w:rsidRPr="007E07AD">
        <w:rPr>
          <w:b/>
          <w:lang w:val="es-ES_tradnl"/>
        </w:rPr>
        <w:t>R</w:t>
      </w:r>
      <w:r>
        <w:rPr>
          <w:b/>
          <w:lang w:val="es-ES_tradnl"/>
        </w:rPr>
        <w:t xml:space="preserve">ecursos fiscales: </w:t>
      </w:r>
      <w:r w:rsidRPr="007E07AD">
        <w:rPr>
          <w:lang w:val="es-ES_tradnl"/>
        </w:rPr>
        <w:t>Los ingresos que se obtienen por impuestos, contribuciones de mejora, derechos, contribuciones distintas de las anteriores causadas en ejercicios fiscales anteriores pendientes de liquidación o pago, productos y aprovechamientos, cuotas y aportaciones de seguridad social, asignaciones y transferencias presupuestarias a los Poderes Ejecutivo, Legislativo y Judicial y organismos autónomos; así como a las entidades paraestatales federales, estatales y municipales.</w:t>
      </w:r>
    </w:p>
    <w:p w:rsidR="007353E9" w:rsidRDefault="007353E9" w:rsidP="007353E9">
      <w:pPr>
        <w:ind w:left="1410" w:hanging="1410"/>
        <w:jc w:val="both"/>
        <w:rPr>
          <w:lang w:val="es-ES_tradnl"/>
        </w:rPr>
      </w:pPr>
    </w:p>
    <w:p w:rsidR="008C1B23" w:rsidRDefault="008C1B23" w:rsidP="007353E9">
      <w:pPr>
        <w:ind w:left="1410" w:hanging="1410"/>
        <w:jc w:val="both"/>
        <w:rPr>
          <w:lang w:val="es-ES_tradnl"/>
        </w:rPr>
      </w:pPr>
    </w:p>
    <w:p w:rsidR="008C1B23" w:rsidRDefault="008C1B23" w:rsidP="007353E9">
      <w:pPr>
        <w:ind w:left="1410" w:hanging="1410"/>
        <w:jc w:val="both"/>
        <w:rPr>
          <w:lang w:val="es-ES_tradnl"/>
        </w:rPr>
      </w:pPr>
    </w:p>
    <w:p w:rsidR="008C1B23" w:rsidRDefault="008C1B23" w:rsidP="007353E9">
      <w:pPr>
        <w:ind w:left="1410" w:hanging="1410"/>
        <w:jc w:val="both"/>
        <w:rPr>
          <w:lang w:val="es-ES_tradnl"/>
        </w:rPr>
      </w:pPr>
    </w:p>
    <w:p w:rsidR="008C1B23" w:rsidRDefault="008C1B23" w:rsidP="007353E9">
      <w:pPr>
        <w:ind w:left="1410" w:hanging="1410"/>
        <w:jc w:val="both"/>
        <w:rPr>
          <w:lang w:val="es-ES_tradnl"/>
        </w:rPr>
      </w:pPr>
    </w:p>
    <w:p w:rsidR="008C1B23" w:rsidRDefault="008C1B23" w:rsidP="007353E9">
      <w:pPr>
        <w:ind w:left="1410" w:hanging="1410"/>
        <w:jc w:val="both"/>
        <w:rPr>
          <w:lang w:val="es-ES_tradnl"/>
        </w:rPr>
      </w:pPr>
    </w:p>
    <w:p w:rsidR="008C1B23" w:rsidRDefault="008C1B23" w:rsidP="007353E9">
      <w:pPr>
        <w:ind w:left="1410" w:hanging="1410"/>
        <w:jc w:val="both"/>
        <w:rPr>
          <w:lang w:val="es-ES_tradnl"/>
        </w:rPr>
      </w:pPr>
    </w:p>
    <w:p w:rsidR="007353E9" w:rsidRDefault="007353E9" w:rsidP="007353E9">
      <w:pPr>
        <w:jc w:val="both"/>
        <w:rPr>
          <w:lang w:val="es-ES_tradnl"/>
        </w:rPr>
      </w:pPr>
    </w:p>
    <w:p w:rsidR="001700FE" w:rsidRDefault="001700FE" w:rsidP="007353E9">
      <w:pPr>
        <w:jc w:val="both"/>
        <w:rPr>
          <w:lang w:val="es-ES_tradnl"/>
        </w:rPr>
      </w:pPr>
    </w:p>
    <w:p w:rsidR="007353E9" w:rsidRPr="007E6C21" w:rsidRDefault="007353E9" w:rsidP="007353E9">
      <w:pPr>
        <w:pStyle w:val="Ttulo1"/>
        <w:rPr>
          <w:rFonts w:asciiTheme="minorHAnsi" w:hAnsiTheme="minorHAnsi"/>
          <w:sz w:val="28"/>
          <w:lang w:val="es-ES_tradnl"/>
        </w:rPr>
      </w:pPr>
      <w:bookmarkStart w:id="2" w:name="_Toc454708596"/>
      <w:bookmarkStart w:id="3" w:name="_Toc498519456"/>
      <w:r w:rsidRPr="007E6C21">
        <w:rPr>
          <w:rFonts w:asciiTheme="minorHAnsi" w:hAnsiTheme="minorHAnsi"/>
          <w:sz w:val="28"/>
          <w:lang w:val="es-ES_tradnl"/>
        </w:rPr>
        <w:lastRenderedPageBreak/>
        <w:t>Acrónimos</w:t>
      </w:r>
      <w:bookmarkEnd w:id="2"/>
      <w:bookmarkEnd w:id="3"/>
      <w:r w:rsidRPr="007E6C21">
        <w:rPr>
          <w:rFonts w:asciiTheme="minorHAnsi" w:hAnsiTheme="minorHAnsi"/>
          <w:sz w:val="28"/>
          <w:lang w:val="es-ES_tradnl"/>
        </w:rPr>
        <w:t xml:space="preserve"> </w:t>
      </w:r>
    </w:p>
    <w:p w:rsidR="007353E9" w:rsidRPr="00437BBE" w:rsidRDefault="007353E9" w:rsidP="007353E9">
      <w:pPr>
        <w:jc w:val="both"/>
        <w:rPr>
          <w:lang w:val="es-ES_tradnl"/>
        </w:rPr>
      </w:pPr>
      <w:r w:rsidRPr="00B655DF">
        <w:rPr>
          <w:b/>
          <w:lang w:val="es-ES_tradnl"/>
        </w:rPr>
        <w:t>CAE</w:t>
      </w:r>
      <w:r>
        <w:rPr>
          <w:lang w:val="es-ES_tradnl"/>
        </w:rPr>
        <w:tab/>
      </w:r>
      <w:r>
        <w:rPr>
          <w:lang w:val="es-ES_tradnl"/>
        </w:rPr>
        <w:tab/>
        <w:t>Costo Anual Equivalente.</w:t>
      </w:r>
    </w:p>
    <w:p w:rsidR="007353E9" w:rsidRPr="00B655DF" w:rsidRDefault="007353E9" w:rsidP="007353E9">
      <w:pPr>
        <w:ind w:left="1410" w:hanging="1410"/>
        <w:jc w:val="both"/>
        <w:rPr>
          <w:lang w:val="es-ES_tradnl"/>
        </w:rPr>
      </w:pPr>
      <w:r w:rsidRPr="00B655DF">
        <w:rPr>
          <w:b/>
          <w:lang w:val="es-ES_tradnl"/>
        </w:rPr>
        <w:t>SHCP</w:t>
      </w:r>
      <w:r w:rsidRPr="00B655DF">
        <w:rPr>
          <w:b/>
          <w:lang w:val="es-ES_tradnl"/>
        </w:rPr>
        <w:tab/>
      </w:r>
      <w:r w:rsidRPr="00B655DF">
        <w:rPr>
          <w:lang w:val="es-ES_tradnl"/>
        </w:rPr>
        <w:t>La Secretarí</w:t>
      </w:r>
      <w:r>
        <w:rPr>
          <w:lang w:val="es-ES_tradnl"/>
        </w:rPr>
        <w:t>a de Hacienda y Crédito Público.</w:t>
      </w:r>
      <w:r w:rsidRPr="00B655DF">
        <w:rPr>
          <w:lang w:val="es-ES_tradnl"/>
        </w:rPr>
        <w:t xml:space="preserve"> </w:t>
      </w:r>
    </w:p>
    <w:p w:rsidR="007353E9" w:rsidRDefault="007353E9" w:rsidP="007353E9">
      <w:pPr>
        <w:ind w:left="1410" w:hanging="1410"/>
        <w:jc w:val="both"/>
        <w:rPr>
          <w:lang w:val="es-ES_tradnl"/>
        </w:rPr>
      </w:pPr>
      <w:r w:rsidRPr="00B655DF">
        <w:rPr>
          <w:b/>
          <w:lang w:val="es-ES_tradnl"/>
        </w:rPr>
        <w:t>TIR</w:t>
      </w:r>
      <w:r w:rsidRPr="00B655DF">
        <w:rPr>
          <w:b/>
          <w:lang w:val="es-ES_tradnl"/>
        </w:rPr>
        <w:tab/>
      </w:r>
      <w:r>
        <w:rPr>
          <w:lang w:val="es-ES_tradnl"/>
        </w:rPr>
        <w:t xml:space="preserve"> Tasa Interna de Retorno.</w:t>
      </w:r>
    </w:p>
    <w:p w:rsidR="007353E9" w:rsidRPr="00B655DF" w:rsidRDefault="007353E9" w:rsidP="007353E9">
      <w:pPr>
        <w:ind w:left="1410" w:hanging="1410"/>
        <w:jc w:val="both"/>
        <w:rPr>
          <w:lang w:val="es-ES_tradnl"/>
        </w:rPr>
      </w:pPr>
      <w:r w:rsidRPr="00B655DF">
        <w:rPr>
          <w:b/>
          <w:lang w:val="es-ES_tradnl"/>
        </w:rPr>
        <w:t>TRI</w:t>
      </w:r>
      <w:r w:rsidRPr="00B655DF">
        <w:rPr>
          <w:b/>
          <w:lang w:val="es-ES_tradnl"/>
        </w:rPr>
        <w:tab/>
      </w:r>
      <w:r>
        <w:rPr>
          <w:lang w:val="es-ES_tradnl"/>
        </w:rPr>
        <w:t>Tasa de Rentabilidad Inmediata.</w:t>
      </w:r>
      <w:r w:rsidRPr="00B655DF">
        <w:rPr>
          <w:lang w:val="es-ES_tradnl"/>
        </w:rPr>
        <w:t xml:space="preserve"> </w:t>
      </w:r>
    </w:p>
    <w:p w:rsidR="007353E9" w:rsidRPr="00B655DF" w:rsidRDefault="007353E9" w:rsidP="007353E9">
      <w:pPr>
        <w:ind w:left="1410" w:hanging="1410"/>
        <w:jc w:val="both"/>
        <w:rPr>
          <w:lang w:val="es-ES_tradnl"/>
        </w:rPr>
      </w:pPr>
      <w:r w:rsidRPr="00B655DF">
        <w:rPr>
          <w:b/>
          <w:lang w:val="es-ES_tradnl"/>
        </w:rPr>
        <w:t>VPN</w:t>
      </w:r>
      <w:r w:rsidRPr="00B655DF">
        <w:rPr>
          <w:b/>
          <w:lang w:val="es-ES_tradnl"/>
        </w:rPr>
        <w:tab/>
      </w:r>
      <w:r>
        <w:rPr>
          <w:lang w:val="es-ES_tradnl"/>
        </w:rPr>
        <w:t>Valor Presente Neto.</w:t>
      </w:r>
    </w:p>
    <w:p w:rsidR="007353E9" w:rsidRPr="00B655DF" w:rsidRDefault="007353E9" w:rsidP="007353E9">
      <w:pPr>
        <w:jc w:val="both"/>
        <w:rPr>
          <w:lang w:val="es-ES_tradnl"/>
        </w:rPr>
      </w:pPr>
      <w:r w:rsidRPr="00B655DF">
        <w:rPr>
          <w:b/>
          <w:lang w:val="es-ES_tradnl"/>
        </w:rPr>
        <w:t>FIT</w:t>
      </w:r>
      <w:r w:rsidRPr="00B655DF">
        <w:rPr>
          <w:lang w:val="es-ES_tradnl"/>
        </w:rPr>
        <w:tab/>
      </w:r>
      <w:r w:rsidRPr="00B655DF">
        <w:rPr>
          <w:lang w:val="es-ES_tradnl"/>
        </w:rPr>
        <w:tab/>
        <w:t xml:space="preserve">Ferrocarril del Istmo de Tehuantepec, S.A. de C.V. </w:t>
      </w:r>
    </w:p>
    <w:p w:rsidR="007353E9" w:rsidRPr="00B655DF" w:rsidRDefault="007353E9" w:rsidP="007353E9">
      <w:pPr>
        <w:jc w:val="both"/>
        <w:rPr>
          <w:lang w:val="es-ES_tradnl"/>
        </w:rPr>
      </w:pPr>
      <w:r w:rsidRPr="00B655DF">
        <w:rPr>
          <w:b/>
          <w:lang w:val="es-ES_tradnl"/>
        </w:rPr>
        <w:t>CFCM</w:t>
      </w:r>
      <w:r w:rsidRPr="00B655DF">
        <w:rPr>
          <w:b/>
          <w:lang w:val="es-ES_tradnl"/>
        </w:rPr>
        <w:tab/>
      </w:r>
      <w:r w:rsidRPr="00B655DF">
        <w:rPr>
          <w:b/>
          <w:lang w:val="es-ES_tradnl"/>
        </w:rPr>
        <w:tab/>
      </w:r>
      <w:r w:rsidRPr="00B655DF">
        <w:rPr>
          <w:lang w:val="es-ES_tradnl"/>
        </w:rPr>
        <w:t>Compañía de Ferrocarriles Chiapas Mayab</w:t>
      </w:r>
      <w:r>
        <w:rPr>
          <w:lang w:val="es-ES_tradnl"/>
        </w:rPr>
        <w:t>.</w:t>
      </w:r>
    </w:p>
    <w:p w:rsidR="007353E9" w:rsidRPr="00B655DF" w:rsidRDefault="007353E9" w:rsidP="007353E9">
      <w:pPr>
        <w:jc w:val="both"/>
        <w:rPr>
          <w:lang w:val="es-ES_tradnl"/>
        </w:rPr>
      </w:pPr>
      <w:r w:rsidRPr="00B655DF">
        <w:rPr>
          <w:b/>
          <w:lang w:val="es-ES_tradnl"/>
        </w:rPr>
        <w:t>PEF</w:t>
      </w:r>
      <w:r w:rsidRPr="00B655DF">
        <w:rPr>
          <w:lang w:val="es-ES_tradnl"/>
        </w:rPr>
        <w:tab/>
      </w:r>
      <w:r w:rsidRPr="00B655DF">
        <w:rPr>
          <w:lang w:val="es-ES_tradnl"/>
        </w:rPr>
        <w:tab/>
        <w:t>Presupuesto de Egresos de la Federación</w:t>
      </w:r>
      <w:r>
        <w:rPr>
          <w:lang w:val="es-ES_tradnl"/>
        </w:rPr>
        <w:t>.</w:t>
      </w:r>
    </w:p>
    <w:p w:rsidR="007353E9" w:rsidRPr="00B655DF" w:rsidRDefault="007353E9" w:rsidP="007353E9">
      <w:pPr>
        <w:jc w:val="both"/>
        <w:rPr>
          <w:lang w:val="es-ES_tradnl"/>
        </w:rPr>
      </w:pPr>
      <w:r w:rsidRPr="00B655DF">
        <w:rPr>
          <w:b/>
          <w:lang w:val="es-ES_tradnl"/>
        </w:rPr>
        <w:t>PIB</w:t>
      </w:r>
      <w:r w:rsidRPr="00B655DF">
        <w:rPr>
          <w:lang w:val="es-ES_tradnl"/>
        </w:rPr>
        <w:tab/>
      </w:r>
      <w:r w:rsidRPr="00B655DF">
        <w:rPr>
          <w:lang w:val="es-ES_tradnl"/>
        </w:rPr>
        <w:tab/>
        <w:t>Producto Interno Bruto</w:t>
      </w:r>
      <w:r>
        <w:rPr>
          <w:lang w:val="es-ES_tradnl"/>
        </w:rPr>
        <w:t>.</w:t>
      </w:r>
    </w:p>
    <w:p w:rsidR="007353E9" w:rsidRPr="00B655DF" w:rsidRDefault="007353E9" w:rsidP="007353E9">
      <w:pPr>
        <w:jc w:val="both"/>
        <w:rPr>
          <w:lang w:val="es-ES_tradnl"/>
        </w:rPr>
      </w:pPr>
      <w:r w:rsidRPr="00B655DF">
        <w:rPr>
          <w:b/>
          <w:lang w:val="es-ES_tradnl"/>
        </w:rPr>
        <w:t>PND</w:t>
      </w:r>
      <w:r w:rsidRPr="00B655DF">
        <w:rPr>
          <w:lang w:val="es-ES_tradnl"/>
        </w:rPr>
        <w:tab/>
      </w:r>
      <w:r w:rsidRPr="00B655DF">
        <w:rPr>
          <w:lang w:val="es-ES_tradnl"/>
        </w:rPr>
        <w:tab/>
        <w:t>Plan Nacional de Desarrollo</w:t>
      </w:r>
      <w:r>
        <w:rPr>
          <w:lang w:val="es-ES_tradnl"/>
        </w:rPr>
        <w:t>.</w:t>
      </w:r>
    </w:p>
    <w:p w:rsidR="007353E9" w:rsidRPr="00B655DF" w:rsidRDefault="007353E9" w:rsidP="007353E9">
      <w:pPr>
        <w:jc w:val="both"/>
        <w:rPr>
          <w:lang w:val="es-ES_tradnl"/>
        </w:rPr>
      </w:pPr>
      <w:r w:rsidRPr="00B655DF">
        <w:rPr>
          <w:b/>
          <w:lang w:val="es-ES_tradnl"/>
        </w:rPr>
        <w:t>PNI</w:t>
      </w:r>
      <w:r w:rsidRPr="00B655DF">
        <w:rPr>
          <w:lang w:val="es-ES_tradnl"/>
        </w:rPr>
        <w:tab/>
      </w:r>
      <w:r w:rsidRPr="00B655DF">
        <w:rPr>
          <w:lang w:val="es-ES_tradnl"/>
        </w:rPr>
        <w:tab/>
        <w:t>Programa Nacional de Infraestructura</w:t>
      </w:r>
      <w:r>
        <w:rPr>
          <w:lang w:val="es-ES_tradnl"/>
        </w:rPr>
        <w:t>.</w:t>
      </w:r>
    </w:p>
    <w:p w:rsidR="007353E9" w:rsidRPr="00B655DF" w:rsidRDefault="007353E9" w:rsidP="007353E9">
      <w:pPr>
        <w:jc w:val="both"/>
        <w:rPr>
          <w:lang w:val="es-ES_tradnl"/>
        </w:rPr>
      </w:pPr>
      <w:r w:rsidRPr="00B655DF">
        <w:rPr>
          <w:b/>
          <w:lang w:val="es-ES_tradnl"/>
        </w:rPr>
        <w:t>PP</w:t>
      </w:r>
      <w:r w:rsidRPr="00B655DF">
        <w:rPr>
          <w:lang w:val="es-ES_tradnl"/>
        </w:rPr>
        <w:tab/>
      </w:r>
      <w:r w:rsidRPr="00B655DF">
        <w:rPr>
          <w:lang w:val="es-ES_tradnl"/>
        </w:rPr>
        <w:tab/>
        <w:t>Programa Presupuestal</w:t>
      </w:r>
      <w:r>
        <w:rPr>
          <w:lang w:val="es-ES_tradnl"/>
        </w:rPr>
        <w:t>.</w:t>
      </w:r>
    </w:p>
    <w:p w:rsidR="007353E9" w:rsidRPr="00B655DF" w:rsidRDefault="007353E9" w:rsidP="007353E9">
      <w:pPr>
        <w:jc w:val="both"/>
        <w:rPr>
          <w:lang w:val="es-ES_tradnl"/>
        </w:rPr>
      </w:pPr>
      <w:r w:rsidRPr="00B655DF">
        <w:rPr>
          <w:b/>
          <w:lang w:val="es-ES_tradnl"/>
        </w:rPr>
        <w:t>SCT</w:t>
      </w:r>
      <w:r w:rsidRPr="00B655DF">
        <w:rPr>
          <w:lang w:val="es-ES_tradnl"/>
        </w:rPr>
        <w:tab/>
      </w:r>
      <w:r w:rsidRPr="00B655DF">
        <w:rPr>
          <w:lang w:val="es-ES_tradnl"/>
        </w:rPr>
        <w:tab/>
        <w:t>Secretaría de Comunicaciones y Transportes</w:t>
      </w:r>
      <w:r>
        <w:rPr>
          <w:lang w:val="es-ES_tradnl"/>
        </w:rPr>
        <w:t>.</w:t>
      </w:r>
    </w:p>
    <w:p w:rsidR="007353E9" w:rsidRPr="00B655DF" w:rsidRDefault="007353E9" w:rsidP="007353E9">
      <w:pPr>
        <w:jc w:val="both"/>
        <w:rPr>
          <w:lang w:val="es-ES_tradnl"/>
        </w:rPr>
      </w:pPr>
      <w:r w:rsidRPr="00B655DF">
        <w:rPr>
          <w:b/>
          <w:lang w:val="es-ES_tradnl"/>
        </w:rPr>
        <w:t>SFM</w:t>
      </w:r>
      <w:r w:rsidRPr="00B655DF">
        <w:rPr>
          <w:b/>
          <w:lang w:val="es-ES_tradnl"/>
        </w:rPr>
        <w:tab/>
      </w:r>
      <w:r w:rsidRPr="00B655DF">
        <w:rPr>
          <w:b/>
          <w:lang w:val="es-ES_tradnl"/>
        </w:rPr>
        <w:tab/>
      </w:r>
      <w:r w:rsidRPr="00B655DF">
        <w:rPr>
          <w:lang w:val="es-ES_tradnl"/>
        </w:rPr>
        <w:t>Sistema Ferroviario Mexicano</w:t>
      </w:r>
      <w:r>
        <w:rPr>
          <w:lang w:val="es-ES_tradnl"/>
        </w:rPr>
        <w:t>.</w:t>
      </w:r>
    </w:p>
    <w:p w:rsidR="007353E9" w:rsidRPr="00B655DF" w:rsidRDefault="007353E9" w:rsidP="007353E9">
      <w:pPr>
        <w:jc w:val="both"/>
        <w:rPr>
          <w:lang w:val="es-ES_tradnl"/>
        </w:rPr>
      </w:pPr>
      <w:r w:rsidRPr="00B655DF">
        <w:rPr>
          <w:b/>
          <w:lang w:val="es-ES_tradnl"/>
        </w:rPr>
        <w:t>DGPOP</w:t>
      </w:r>
      <w:r w:rsidRPr="00B655DF">
        <w:rPr>
          <w:lang w:val="es-ES_tradnl"/>
        </w:rPr>
        <w:tab/>
      </w:r>
      <w:r w:rsidRPr="00B655DF">
        <w:rPr>
          <w:lang w:val="es-ES_tradnl"/>
        </w:rPr>
        <w:tab/>
        <w:t>Dirección General de Programación, Organización y Presupuesto.</w:t>
      </w:r>
    </w:p>
    <w:p w:rsidR="007353E9" w:rsidRPr="00B655DF" w:rsidRDefault="007353E9" w:rsidP="007353E9">
      <w:pPr>
        <w:jc w:val="both"/>
        <w:rPr>
          <w:lang w:val="es-ES_tradnl"/>
        </w:rPr>
      </w:pPr>
      <w:r w:rsidRPr="00B655DF">
        <w:rPr>
          <w:b/>
          <w:lang w:val="es-ES_tradnl"/>
        </w:rPr>
        <w:t>LAOPSRM</w:t>
      </w:r>
      <w:r w:rsidRPr="00B655DF">
        <w:rPr>
          <w:lang w:val="es-ES_tradnl"/>
        </w:rPr>
        <w:tab/>
        <w:t>Ley de Adquisiciones, Obra Pública y Servicios Relacionados con las Mismas.</w:t>
      </w:r>
    </w:p>
    <w:p w:rsidR="007353E9" w:rsidRDefault="007353E9" w:rsidP="007353E9">
      <w:pPr>
        <w:jc w:val="both"/>
        <w:rPr>
          <w:lang w:val="es-ES_tradnl"/>
        </w:rPr>
      </w:pPr>
      <w:r w:rsidRPr="00751FB5">
        <w:rPr>
          <w:b/>
          <w:lang w:val="es-ES_tradnl"/>
        </w:rPr>
        <w:t>VA</w:t>
      </w:r>
      <w:r>
        <w:rPr>
          <w:b/>
          <w:lang w:val="es-ES_tradnl"/>
        </w:rPr>
        <w:t xml:space="preserve">                       </w:t>
      </w:r>
      <w:r w:rsidRPr="00751FB5">
        <w:rPr>
          <w:lang w:val="es-ES_tradnl"/>
        </w:rPr>
        <w:t>Valor Actual</w:t>
      </w:r>
      <w:r>
        <w:rPr>
          <w:lang w:val="es-ES_tradnl"/>
        </w:rPr>
        <w:t>.</w:t>
      </w:r>
    </w:p>
    <w:p w:rsidR="007353E9" w:rsidRDefault="007353E9" w:rsidP="007353E9">
      <w:pPr>
        <w:jc w:val="both"/>
        <w:rPr>
          <w:lang w:val="es-ES_tradnl"/>
        </w:rPr>
      </w:pPr>
      <w:r w:rsidRPr="004647EE">
        <w:rPr>
          <w:b/>
          <w:lang w:val="es-ES_tradnl"/>
        </w:rPr>
        <w:t>DOF</w:t>
      </w:r>
      <w:r>
        <w:rPr>
          <w:lang w:val="es-ES_tradnl"/>
        </w:rPr>
        <w:tab/>
      </w:r>
      <w:r w:rsidR="008C1B23">
        <w:rPr>
          <w:lang w:val="es-ES_tradnl"/>
        </w:rPr>
        <w:tab/>
        <w:t>Diario Oficial de la Federación.</w:t>
      </w:r>
    </w:p>
    <w:p w:rsidR="008C1B23" w:rsidRDefault="008C1B23" w:rsidP="007353E9">
      <w:pPr>
        <w:jc w:val="both"/>
        <w:rPr>
          <w:lang w:val="es-ES_tradnl"/>
        </w:rPr>
      </w:pPr>
    </w:p>
    <w:p w:rsidR="008C1B23" w:rsidRDefault="008C1B23" w:rsidP="007353E9">
      <w:pPr>
        <w:jc w:val="both"/>
        <w:rPr>
          <w:lang w:val="es-ES_tradnl"/>
        </w:rPr>
      </w:pPr>
    </w:p>
    <w:p w:rsidR="008C1B23" w:rsidRDefault="008C1B23" w:rsidP="007353E9">
      <w:pPr>
        <w:jc w:val="both"/>
        <w:rPr>
          <w:lang w:val="es-ES_tradnl"/>
        </w:rPr>
      </w:pPr>
    </w:p>
    <w:p w:rsidR="008C1B23" w:rsidRDefault="008C1B23" w:rsidP="007353E9">
      <w:pPr>
        <w:jc w:val="both"/>
        <w:rPr>
          <w:lang w:val="es-ES_tradnl"/>
        </w:rPr>
      </w:pPr>
    </w:p>
    <w:p w:rsidR="008C1B23" w:rsidRDefault="008C1B23" w:rsidP="007353E9">
      <w:pPr>
        <w:jc w:val="both"/>
        <w:rPr>
          <w:lang w:val="es-ES_tradnl"/>
        </w:rPr>
      </w:pPr>
    </w:p>
    <w:p w:rsidR="008C1B23" w:rsidRDefault="008C1B23" w:rsidP="007353E9">
      <w:pPr>
        <w:jc w:val="both"/>
        <w:rPr>
          <w:lang w:val="es-ES_tradnl"/>
        </w:rPr>
      </w:pPr>
    </w:p>
    <w:p w:rsidR="008C1B23" w:rsidRDefault="008C1B23" w:rsidP="007353E9">
      <w:pPr>
        <w:jc w:val="both"/>
        <w:rPr>
          <w:lang w:val="es-ES_tradnl"/>
        </w:rPr>
      </w:pPr>
    </w:p>
    <w:p w:rsidR="008C1B23" w:rsidRDefault="008C1B23" w:rsidP="007353E9">
      <w:pPr>
        <w:jc w:val="both"/>
        <w:rPr>
          <w:lang w:val="es-ES_tradnl"/>
        </w:rPr>
      </w:pPr>
    </w:p>
    <w:p w:rsidR="008C1B23" w:rsidRPr="008C1B23" w:rsidRDefault="008C1B23" w:rsidP="007353E9">
      <w:pPr>
        <w:jc w:val="both"/>
        <w:rPr>
          <w:lang w:val="es-ES_tradnl"/>
        </w:rPr>
      </w:pPr>
    </w:p>
    <w:p w:rsidR="007353E9" w:rsidRPr="007353E9" w:rsidRDefault="007353E9" w:rsidP="007353E9">
      <w:pPr>
        <w:rPr>
          <w:lang w:val="es-ES_tradnl"/>
        </w:rPr>
      </w:pPr>
    </w:p>
    <w:p w:rsidR="00867A93" w:rsidRPr="003E5D6F" w:rsidRDefault="008540F7" w:rsidP="00B76270">
      <w:pPr>
        <w:pStyle w:val="Ttulo1"/>
        <w:numPr>
          <w:ilvl w:val="0"/>
          <w:numId w:val="6"/>
        </w:numPr>
        <w:ind w:right="-518" w:hanging="76"/>
        <w:rPr>
          <w:rFonts w:asciiTheme="minorHAnsi" w:hAnsiTheme="minorHAnsi"/>
          <w:sz w:val="24"/>
          <w:lang w:val="es-ES_tradnl"/>
        </w:rPr>
      </w:pPr>
      <w:bookmarkStart w:id="4" w:name="_Toc498519457"/>
      <w:r w:rsidRPr="003E5D6F">
        <w:rPr>
          <w:rFonts w:asciiTheme="minorHAnsi" w:hAnsiTheme="minorHAnsi"/>
          <w:sz w:val="24"/>
          <w:lang w:val="es-ES_tradnl"/>
        </w:rPr>
        <w:lastRenderedPageBreak/>
        <w:t>N</w:t>
      </w:r>
      <w:r w:rsidR="00867A93" w:rsidRPr="003E5D6F">
        <w:rPr>
          <w:rFonts w:asciiTheme="minorHAnsi" w:hAnsiTheme="minorHAnsi"/>
          <w:sz w:val="24"/>
          <w:lang w:val="es-ES_tradnl"/>
        </w:rPr>
        <w:t>ombre del programa o proyecto de inv</w:t>
      </w:r>
      <w:r w:rsidR="008C1B23">
        <w:rPr>
          <w:rFonts w:asciiTheme="minorHAnsi" w:hAnsiTheme="minorHAnsi"/>
          <w:sz w:val="24"/>
          <w:lang w:val="es-ES_tradnl"/>
        </w:rPr>
        <w:t>ersión registrado en la c</w:t>
      </w:r>
      <w:r w:rsidR="00807B6C" w:rsidRPr="003E5D6F">
        <w:rPr>
          <w:rFonts w:asciiTheme="minorHAnsi" w:hAnsiTheme="minorHAnsi"/>
          <w:sz w:val="24"/>
          <w:lang w:val="es-ES_tradnl"/>
        </w:rPr>
        <w:t>artera.</w:t>
      </w:r>
      <w:bookmarkEnd w:id="4"/>
    </w:p>
    <w:p w:rsidR="00B76270" w:rsidRPr="00B76270" w:rsidRDefault="00250218" w:rsidP="00B76270">
      <w:pPr>
        <w:ind w:left="284"/>
        <w:rPr>
          <w:lang w:val="es-ES_tradnl"/>
        </w:rPr>
      </w:pPr>
      <w:r>
        <w:rPr>
          <w:lang w:val="es-ES_tradnl"/>
        </w:rPr>
        <w:t>Libramiento Ferroviario d</w:t>
      </w:r>
      <w:r w:rsidR="00B76270" w:rsidRPr="00B76270">
        <w:rPr>
          <w:lang w:val="es-ES_tradnl"/>
        </w:rPr>
        <w:t xml:space="preserve">e </w:t>
      </w:r>
      <w:r>
        <w:rPr>
          <w:lang w:val="es-ES_tradnl"/>
        </w:rPr>
        <w:t>Tapachula.</w:t>
      </w:r>
    </w:p>
    <w:p w:rsidR="00867A93" w:rsidRPr="003E5D6F" w:rsidRDefault="008540F7" w:rsidP="00B76270">
      <w:pPr>
        <w:pStyle w:val="Ttulo1"/>
        <w:numPr>
          <w:ilvl w:val="0"/>
          <w:numId w:val="6"/>
        </w:numPr>
        <w:ind w:hanging="76"/>
        <w:rPr>
          <w:rFonts w:asciiTheme="minorHAnsi" w:hAnsiTheme="minorHAnsi"/>
          <w:sz w:val="24"/>
          <w:lang w:val="es-ES_tradnl"/>
        </w:rPr>
      </w:pPr>
      <w:bookmarkStart w:id="5" w:name="_Toc498519458"/>
      <w:r w:rsidRPr="003E5D6F">
        <w:rPr>
          <w:rFonts w:asciiTheme="minorHAnsi" w:hAnsiTheme="minorHAnsi"/>
          <w:sz w:val="24"/>
          <w:lang w:val="es-ES_tradnl"/>
        </w:rPr>
        <w:t>C</w:t>
      </w:r>
      <w:r w:rsidR="008C1B23">
        <w:rPr>
          <w:rFonts w:asciiTheme="minorHAnsi" w:hAnsiTheme="minorHAnsi"/>
          <w:sz w:val="24"/>
          <w:lang w:val="es-ES_tradnl"/>
        </w:rPr>
        <w:t>lave de c</w:t>
      </w:r>
      <w:r w:rsidR="00807B6C" w:rsidRPr="003E5D6F">
        <w:rPr>
          <w:rFonts w:asciiTheme="minorHAnsi" w:hAnsiTheme="minorHAnsi"/>
          <w:sz w:val="24"/>
          <w:lang w:val="es-ES_tradnl"/>
        </w:rPr>
        <w:t>artera.</w:t>
      </w:r>
      <w:bookmarkEnd w:id="5"/>
    </w:p>
    <w:p w:rsidR="00B76270" w:rsidRPr="00B76270" w:rsidRDefault="00E712EC" w:rsidP="00B76270">
      <w:pPr>
        <w:ind w:left="284"/>
        <w:rPr>
          <w:lang w:val="es-ES_tradnl"/>
        </w:rPr>
      </w:pPr>
      <w:r>
        <w:rPr>
          <w:lang w:val="es-ES_tradnl"/>
        </w:rPr>
        <w:t>09</w:t>
      </w:r>
      <w:r w:rsidR="00B76270" w:rsidRPr="00B76270">
        <w:rPr>
          <w:lang w:val="es-ES_tradnl"/>
        </w:rPr>
        <w:t>09J3L0001</w:t>
      </w:r>
      <w:r w:rsidR="00401A41">
        <w:rPr>
          <w:lang w:val="es-ES_tradnl"/>
        </w:rPr>
        <w:t>.</w:t>
      </w:r>
    </w:p>
    <w:p w:rsidR="00867A93" w:rsidRPr="003E5D6F" w:rsidRDefault="008540F7" w:rsidP="00B76270">
      <w:pPr>
        <w:pStyle w:val="Ttulo1"/>
        <w:numPr>
          <w:ilvl w:val="0"/>
          <w:numId w:val="6"/>
        </w:numPr>
        <w:ind w:hanging="76"/>
        <w:rPr>
          <w:rFonts w:asciiTheme="minorHAnsi" w:hAnsiTheme="minorHAnsi"/>
          <w:sz w:val="24"/>
          <w:lang w:val="es-ES_tradnl"/>
        </w:rPr>
      </w:pPr>
      <w:bookmarkStart w:id="6" w:name="_Toc498519459"/>
      <w:r w:rsidRPr="003E5D6F">
        <w:rPr>
          <w:rFonts w:asciiTheme="minorHAnsi" w:hAnsiTheme="minorHAnsi"/>
          <w:sz w:val="24"/>
          <w:lang w:val="es-ES_tradnl"/>
        </w:rPr>
        <w:t>R</w:t>
      </w:r>
      <w:r w:rsidR="00867A93" w:rsidRPr="003E5D6F">
        <w:rPr>
          <w:rFonts w:asciiTheme="minorHAnsi" w:hAnsiTheme="minorHAnsi"/>
          <w:sz w:val="24"/>
          <w:lang w:val="es-ES_tradnl"/>
        </w:rPr>
        <w:t>amo al que pertenece el p</w:t>
      </w:r>
      <w:r w:rsidR="00807B6C" w:rsidRPr="003E5D6F">
        <w:rPr>
          <w:rFonts w:asciiTheme="minorHAnsi" w:hAnsiTheme="minorHAnsi"/>
          <w:sz w:val="24"/>
          <w:lang w:val="es-ES_tradnl"/>
        </w:rPr>
        <w:t>rograma o proyecto de inversión.</w:t>
      </w:r>
      <w:bookmarkEnd w:id="6"/>
    </w:p>
    <w:p w:rsidR="00B76270" w:rsidRPr="00B76270" w:rsidRDefault="00B76270" w:rsidP="00B76270">
      <w:pPr>
        <w:ind w:left="284"/>
        <w:rPr>
          <w:lang w:val="es-ES_tradnl"/>
        </w:rPr>
      </w:pPr>
      <w:r w:rsidRPr="00B76270">
        <w:rPr>
          <w:lang w:val="es-ES_tradnl"/>
        </w:rPr>
        <w:t>09 Sector Comunicaciones y Transportes</w:t>
      </w:r>
      <w:r w:rsidR="00401A41">
        <w:rPr>
          <w:lang w:val="es-ES_tradnl"/>
        </w:rPr>
        <w:t>.</w:t>
      </w:r>
    </w:p>
    <w:p w:rsidR="00867A93" w:rsidRPr="003E5D6F" w:rsidRDefault="008540F7" w:rsidP="00B76270">
      <w:pPr>
        <w:pStyle w:val="Ttulo1"/>
        <w:numPr>
          <w:ilvl w:val="0"/>
          <w:numId w:val="6"/>
        </w:numPr>
        <w:ind w:hanging="76"/>
        <w:rPr>
          <w:rFonts w:asciiTheme="minorHAnsi" w:hAnsiTheme="minorHAnsi"/>
          <w:sz w:val="24"/>
          <w:lang w:val="es-ES_tradnl"/>
        </w:rPr>
      </w:pPr>
      <w:bookmarkStart w:id="7" w:name="_Toc498519460"/>
      <w:r w:rsidRPr="003E5D6F">
        <w:rPr>
          <w:rFonts w:asciiTheme="minorHAnsi" w:hAnsiTheme="minorHAnsi"/>
          <w:sz w:val="24"/>
          <w:lang w:val="es-ES_tradnl"/>
        </w:rPr>
        <w:t>U</w:t>
      </w:r>
      <w:r w:rsidR="00807B6C" w:rsidRPr="003E5D6F">
        <w:rPr>
          <w:rFonts w:asciiTheme="minorHAnsi" w:hAnsiTheme="minorHAnsi"/>
          <w:sz w:val="24"/>
          <w:lang w:val="es-ES_tradnl"/>
        </w:rPr>
        <w:t>nidad responsable.</w:t>
      </w:r>
      <w:bookmarkEnd w:id="7"/>
    </w:p>
    <w:p w:rsidR="001C5ABF" w:rsidRDefault="00B76270" w:rsidP="001C5ABF">
      <w:pPr>
        <w:ind w:left="284"/>
        <w:rPr>
          <w:lang w:val="es-ES_tradnl"/>
        </w:rPr>
      </w:pPr>
      <w:r w:rsidRPr="00B76270">
        <w:rPr>
          <w:lang w:val="es-ES_tradnl"/>
        </w:rPr>
        <w:t>J3L Ferrocarril del Istmo de Tehuantepec S.A. de C.V.</w:t>
      </w:r>
    </w:p>
    <w:p w:rsidR="001C5ABF" w:rsidRPr="003E5D6F" w:rsidRDefault="001C5ABF" w:rsidP="00152233">
      <w:pPr>
        <w:pStyle w:val="Ttulo1"/>
        <w:numPr>
          <w:ilvl w:val="0"/>
          <w:numId w:val="6"/>
        </w:numPr>
        <w:ind w:hanging="76"/>
        <w:rPr>
          <w:rFonts w:asciiTheme="minorHAnsi" w:hAnsiTheme="minorHAnsi"/>
          <w:sz w:val="24"/>
          <w:lang w:val="es-ES_tradnl"/>
        </w:rPr>
      </w:pPr>
      <w:bookmarkStart w:id="8" w:name="_Toc454708693"/>
      <w:bookmarkStart w:id="9" w:name="_Toc498519461"/>
      <w:r w:rsidRPr="003E5D6F">
        <w:rPr>
          <w:rFonts w:asciiTheme="minorHAnsi" w:hAnsiTheme="minorHAnsi"/>
          <w:sz w:val="24"/>
          <w:lang w:val="es-ES_tradnl"/>
        </w:rPr>
        <w:t>Variación porcentual de cumplimiento de metas físicas</w:t>
      </w:r>
      <w:bookmarkEnd w:id="8"/>
      <w:r w:rsidRPr="003E5D6F">
        <w:rPr>
          <w:rFonts w:asciiTheme="minorHAnsi" w:hAnsiTheme="minorHAnsi"/>
          <w:sz w:val="24"/>
          <w:lang w:val="es-ES_tradnl"/>
        </w:rPr>
        <w:t>.</w:t>
      </w:r>
      <w:bookmarkEnd w:id="9"/>
    </w:p>
    <w:p w:rsidR="001C5ABF" w:rsidRPr="00CC3186" w:rsidRDefault="001C5ABF" w:rsidP="001C5ABF">
      <w:pPr>
        <w:rPr>
          <w:sz w:val="2"/>
          <w:lang w:eastAsia="en-AU"/>
        </w:rPr>
      </w:pPr>
    </w:p>
    <w:p w:rsidR="001C5ABF" w:rsidRDefault="001C5ABF" w:rsidP="001C5ABF">
      <w:pPr>
        <w:rPr>
          <w:lang w:eastAsia="en-AU"/>
        </w:rPr>
      </w:pPr>
      <w:r>
        <w:rPr>
          <w:lang w:eastAsia="en-AU"/>
        </w:rPr>
        <w:t>Para calcular la variación porcentual del cumplimiento de las metas físicas se utiliza la siguiente formula:</w:t>
      </w:r>
    </w:p>
    <w:p w:rsidR="001C5ABF" w:rsidRDefault="001C5ABF" w:rsidP="001C5ABF">
      <w:pPr>
        <w:jc w:val="center"/>
        <w:rPr>
          <w:lang w:eastAsia="en-AU"/>
        </w:rPr>
      </w:pPr>
      <w:r>
        <w:rPr>
          <w:noProof/>
          <w:lang w:eastAsia="es-MX"/>
        </w:rPr>
        <w:drawing>
          <wp:inline distT="0" distB="0" distL="0" distR="0" wp14:anchorId="2DB04D7E" wp14:editId="5F99A660">
            <wp:extent cx="1476375" cy="342900"/>
            <wp:effectExtent l="0" t="0" r="9525" b="0"/>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342900"/>
                    </a:xfrm>
                    <a:prstGeom prst="rect">
                      <a:avLst/>
                    </a:prstGeom>
                    <a:noFill/>
                    <a:ln>
                      <a:noFill/>
                    </a:ln>
                  </pic:spPr>
                </pic:pic>
              </a:graphicData>
            </a:graphic>
          </wp:inline>
        </w:drawing>
      </w:r>
    </w:p>
    <w:p w:rsidR="001C5ABF" w:rsidRDefault="001C5ABF" w:rsidP="001C5ABF">
      <w:pPr>
        <w:spacing w:after="0"/>
        <w:rPr>
          <w:lang w:eastAsia="en-AU"/>
        </w:rPr>
      </w:pPr>
      <w:r>
        <w:rPr>
          <w:lang w:eastAsia="en-AU"/>
        </w:rPr>
        <w:t>VEMF= Variación de eficiencia de cumplimiento de metas físicas.</w:t>
      </w:r>
      <w:r>
        <w:rPr>
          <w:lang w:eastAsia="en-AU"/>
        </w:rPr>
        <w:tab/>
      </w:r>
      <w:r>
        <w:rPr>
          <w:lang w:eastAsia="en-AU"/>
        </w:rPr>
        <w:tab/>
      </w:r>
      <w:r>
        <w:rPr>
          <w:lang w:eastAsia="en-AU"/>
        </w:rPr>
        <w:tab/>
      </w:r>
      <w:r>
        <w:rPr>
          <w:lang w:eastAsia="en-AU"/>
        </w:rPr>
        <w:tab/>
      </w:r>
    </w:p>
    <w:p w:rsidR="001C5ABF" w:rsidRDefault="001C5ABF" w:rsidP="001C5ABF">
      <w:pPr>
        <w:spacing w:after="0"/>
        <w:rPr>
          <w:lang w:eastAsia="en-AU"/>
        </w:rPr>
      </w:pPr>
      <w:r>
        <w:rPr>
          <w:lang w:eastAsia="en-AU"/>
        </w:rPr>
        <w:t>MP= Metas Programadas.</w:t>
      </w:r>
      <w:r>
        <w:rPr>
          <w:lang w:eastAsia="en-AU"/>
        </w:rPr>
        <w:tab/>
      </w:r>
      <w:r>
        <w:rPr>
          <w:lang w:eastAsia="en-AU"/>
        </w:rPr>
        <w:tab/>
      </w:r>
      <w:r>
        <w:rPr>
          <w:lang w:eastAsia="en-AU"/>
        </w:rPr>
        <w:tab/>
      </w:r>
      <w:r>
        <w:rPr>
          <w:lang w:eastAsia="en-AU"/>
        </w:rPr>
        <w:tab/>
      </w:r>
    </w:p>
    <w:p w:rsidR="001C5ABF" w:rsidRDefault="001C5ABF" w:rsidP="001C5ABF">
      <w:pPr>
        <w:spacing w:after="0"/>
        <w:rPr>
          <w:lang w:eastAsia="en-AU"/>
        </w:rPr>
      </w:pPr>
      <w:r>
        <w:rPr>
          <w:lang w:eastAsia="en-AU"/>
        </w:rPr>
        <w:t>MA=Metas alcanzadas.</w:t>
      </w:r>
      <w:r>
        <w:rPr>
          <w:lang w:eastAsia="en-AU"/>
        </w:rPr>
        <w:tab/>
      </w:r>
    </w:p>
    <w:p w:rsidR="001C5ABF" w:rsidRDefault="001C5ABF" w:rsidP="001C5ABF">
      <w:pPr>
        <w:spacing w:after="0"/>
        <w:rPr>
          <w:lang w:eastAsia="en-AU"/>
        </w:rPr>
      </w:pPr>
    </w:p>
    <w:tbl>
      <w:tblPr>
        <w:tblW w:w="0" w:type="auto"/>
        <w:jc w:val="center"/>
        <w:tblCellMar>
          <w:left w:w="70" w:type="dxa"/>
          <w:right w:w="70" w:type="dxa"/>
        </w:tblCellMar>
        <w:tblLook w:val="04A0" w:firstRow="1" w:lastRow="0" w:firstColumn="1" w:lastColumn="0" w:noHBand="0" w:noVBand="1"/>
      </w:tblPr>
      <w:tblGrid>
        <w:gridCol w:w="771"/>
        <w:gridCol w:w="440"/>
        <w:gridCol w:w="318"/>
        <w:gridCol w:w="669"/>
        <w:gridCol w:w="252"/>
        <w:gridCol w:w="318"/>
        <w:gridCol w:w="669"/>
        <w:gridCol w:w="430"/>
        <w:gridCol w:w="669"/>
        <w:gridCol w:w="252"/>
      </w:tblGrid>
      <w:tr w:rsidR="001C5ABF" w:rsidRPr="00AB6225" w:rsidTr="004D2099">
        <w:trPr>
          <w:trHeight w:val="300"/>
          <w:jc w:val="center"/>
        </w:trPr>
        <w:tc>
          <w:tcPr>
            <w:tcW w:w="0" w:type="auto"/>
            <w:vMerge w:val="restart"/>
            <w:tcBorders>
              <w:top w:val="nil"/>
              <w:left w:val="nil"/>
              <w:bottom w:val="nil"/>
              <w:right w:val="nil"/>
            </w:tcBorders>
            <w:shd w:val="clear" w:color="000000" w:fill="FFFFFF"/>
            <w:noWrap/>
            <w:vAlign w:val="center"/>
            <w:hideMark/>
          </w:tcPr>
          <w:p w:rsidR="001C5ABF" w:rsidRPr="00AB6225" w:rsidRDefault="001C5ABF" w:rsidP="004D2099">
            <w:pPr>
              <w:spacing w:after="0" w:line="240" w:lineRule="auto"/>
              <w:jc w:val="center"/>
              <w:rPr>
                <w:rFonts w:eastAsia="Times New Roman" w:cs="Arial"/>
                <w:lang w:eastAsia="es-MX"/>
              </w:rPr>
            </w:pPr>
            <w:r w:rsidRPr="00AB6225">
              <w:rPr>
                <w:rFonts w:eastAsia="Times New Roman" w:cs="Arial"/>
                <w:lang w:eastAsia="en-AU"/>
              </w:rPr>
              <w:t>VEMF=</w:t>
            </w:r>
          </w:p>
        </w:tc>
        <w:tc>
          <w:tcPr>
            <w:tcW w:w="0" w:type="auto"/>
            <w:tcBorders>
              <w:top w:val="nil"/>
              <w:left w:val="nil"/>
              <w:bottom w:val="single" w:sz="4" w:space="0" w:color="auto"/>
              <w:right w:val="nil"/>
            </w:tcBorders>
            <w:shd w:val="clear" w:color="000000" w:fill="FFFFFF"/>
            <w:noWrap/>
            <w:vAlign w:val="bottom"/>
            <w:hideMark/>
          </w:tcPr>
          <w:p w:rsidR="001C5ABF" w:rsidRPr="00AB6225" w:rsidRDefault="001C5ABF" w:rsidP="004D2099">
            <w:pPr>
              <w:spacing w:after="0" w:line="240" w:lineRule="auto"/>
              <w:rPr>
                <w:rFonts w:ascii="Arial" w:eastAsia="Times New Roman" w:hAnsi="Arial" w:cs="Arial"/>
                <w:sz w:val="20"/>
                <w:szCs w:val="20"/>
                <w:lang w:eastAsia="es-MX"/>
              </w:rPr>
            </w:pPr>
            <w:r w:rsidRPr="00AB6225">
              <w:rPr>
                <w:rFonts w:ascii="Arial" w:eastAsia="Times New Roman" w:hAnsi="Arial" w:cs="Arial"/>
                <w:sz w:val="20"/>
                <w:szCs w:val="20"/>
                <w:lang w:eastAsia="es-MX"/>
              </w:rPr>
              <w:t>MA</w:t>
            </w:r>
          </w:p>
        </w:tc>
        <w:tc>
          <w:tcPr>
            <w:tcW w:w="0" w:type="auto"/>
            <w:vMerge w:val="restart"/>
            <w:tcBorders>
              <w:top w:val="nil"/>
              <w:left w:val="nil"/>
              <w:bottom w:val="nil"/>
              <w:right w:val="nil"/>
            </w:tcBorders>
            <w:shd w:val="clear" w:color="000000" w:fill="FFFFFF"/>
            <w:noWrap/>
            <w:vAlign w:val="center"/>
            <w:hideMark/>
          </w:tcPr>
          <w:p w:rsidR="001C5ABF" w:rsidRPr="00AB6225" w:rsidRDefault="001C5ABF" w:rsidP="004D2099">
            <w:pPr>
              <w:spacing w:after="0" w:line="240" w:lineRule="auto"/>
              <w:jc w:val="center"/>
              <w:rPr>
                <w:rFonts w:ascii="Arial" w:eastAsia="Times New Roman" w:hAnsi="Arial" w:cs="Arial"/>
                <w:sz w:val="20"/>
                <w:szCs w:val="20"/>
                <w:lang w:eastAsia="es-MX"/>
              </w:rPr>
            </w:pPr>
            <w:r w:rsidRPr="00AB6225">
              <w:rPr>
                <w:rFonts w:ascii="Arial" w:eastAsia="Times New Roman" w:hAnsi="Arial" w:cs="Arial"/>
                <w:sz w:val="20"/>
                <w:szCs w:val="20"/>
                <w:lang w:eastAsia="es-MX"/>
              </w:rPr>
              <w:t xml:space="preserve">-1 </w:t>
            </w:r>
          </w:p>
        </w:tc>
        <w:tc>
          <w:tcPr>
            <w:tcW w:w="0" w:type="auto"/>
            <w:vMerge w:val="restart"/>
            <w:tcBorders>
              <w:top w:val="nil"/>
              <w:left w:val="nil"/>
              <w:bottom w:val="nil"/>
              <w:right w:val="nil"/>
            </w:tcBorders>
            <w:shd w:val="clear" w:color="000000" w:fill="FFFFFF"/>
            <w:noWrap/>
            <w:vAlign w:val="center"/>
            <w:hideMark/>
          </w:tcPr>
          <w:p w:rsidR="001C5ABF" w:rsidRPr="00AB6225" w:rsidRDefault="001C5ABF" w:rsidP="004D2099">
            <w:pPr>
              <w:spacing w:after="0" w:line="240" w:lineRule="auto"/>
              <w:jc w:val="center"/>
              <w:rPr>
                <w:rFonts w:ascii="Arial" w:eastAsia="Times New Roman" w:hAnsi="Arial" w:cs="Arial"/>
                <w:sz w:val="20"/>
                <w:szCs w:val="20"/>
                <w:lang w:eastAsia="es-MX"/>
              </w:rPr>
            </w:pPr>
            <w:r w:rsidRPr="00AB6225">
              <w:rPr>
                <w:rFonts w:ascii="Arial" w:eastAsia="Times New Roman" w:hAnsi="Arial" w:cs="Arial"/>
                <w:sz w:val="20"/>
                <w:szCs w:val="20"/>
                <w:lang w:eastAsia="es-MX"/>
              </w:rPr>
              <w:t>*100=</w:t>
            </w:r>
          </w:p>
        </w:tc>
        <w:tc>
          <w:tcPr>
            <w:tcW w:w="0" w:type="auto"/>
            <w:tcBorders>
              <w:top w:val="nil"/>
              <w:left w:val="nil"/>
              <w:bottom w:val="single" w:sz="4" w:space="0" w:color="auto"/>
              <w:right w:val="nil"/>
            </w:tcBorders>
            <w:shd w:val="clear" w:color="000000" w:fill="FFFFFF"/>
            <w:noWrap/>
            <w:vAlign w:val="bottom"/>
            <w:hideMark/>
          </w:tcPr>
          <w:p w:rsidR="001C5ABF" w:rsidRPr="00AB6225" w:rsidRDefault="00810C78" w:rsidP="004D2099">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8</w:t>
            </w:r>
            <w:r w:rsidR="001C5ABF" w:rsidRPr="00AB6225">
              <w:rPr>
                <w:rFonts w:ascii="Arial" w:eastAsia="Times New Roman" w:hAnsi="Arial" w:cs="Arial"/>
                <w:sz w:val="20"/>
                <w:szCs w:val="20"/>
                <w:lang w:eastAsia="es-MX"/>
              </w:rPr>
              <w:t xml:space="preserve"> </w:t>
            </w:r>
          </w:p>
        </w:tc>
        <w:tc>
          <w:tcPr>
            <w:tcW w:w="0" w:type="auto"/>
            <w:vMerge w:val="restart"/>
            <w:tcBorders>
              <w:top w:val="nil"/>
              <w:left w:val="nil"/>
              <w:bottom w:val="nil"/>
              <w:right w:val="nil"/>
            </w:tcBorders>
            <w:shd w:val="clear" w:color="000000" w:fill="FFFFFF"/>
            <w:noWrap/>
            <w:vAlign w:val="center"/>
            <w:hideMark/>
          </w:tcPr>
          <w:p w:rsidR="001C5ABF" w:rsidRPr="00AB6225" w:rsidRDefault="001C5ABF" w:rsidP="004D2099">
            <w:pPr>
              <w:spacing w:after="0" w:line="240" w:lineRule="auto"/>
              <w:jc w:val="center"/>
              <w:rPr>
                <w:rFonts w:ascii="Arial" w:eastAsia="Times New Roman" w:hAnsi="Arial" w:cs="Arial"/>
                <w:sz w:val="20"/>
                <w:szCs w:val="20"/>
                <w:lang w:eastAsia="es-MX"/>
              </w:rPr>
            </w:pPr>
            <w:r w:rsidRPr="00AB6225">
              <w:rPr>
                <w:rFonts w:ascii="Arial" w:eastAsia="Times New Roman" w:hAnsi="Arial" w:cs="Arial"/>
                <w:sz w:val="20"/>
                <w:szCs w:val="20"/>
                <w:lang w:eastAsia="es-MX"/>
              </w:rPr>
              <w:t xml:space="preserve">-1 </w:t>
            </w:r>
          </w:p>
        </w:tc>
        <w:tc>
          <w:tcPr>
            <w:tcW w:w="0" w:type="auto"/>
            <w:vMerge w:val="restart"/>
            <w:tcBorders>
              <w:top w:val="nil"/>
              <w:left w:val="nil"/>
              <w:bottom w:val="nil"/>
              <w:right w:val="nil"/>
            </w:tcBorders>
            <w:shd w:val="clear" w:color="000000" w:fill="FFFFFF"/>
            <w:noWrap/>
            <w:vAlign w:val="center"/>
            <w:hideMark/>
          </w:tcPr>
          <w:p w:rsidR="001C5ABF" w:rsidRPr="00AB6225" w:rsidRDefault="001C5ABF" w:rsidP="004D2099">
            <w:pPr>
              <w:spacing w:after="0" w:line="240" w:lineRule="auto"/>
              <w:jc w:val="center"/>
              <w:rPr>
                <w:rFonts w:ascii="Arial" w:eastAsia="Times New Roman" w:hAnsi="Arial" w:cs="Arial"/>
                <w:sz w:val="20"/>
                <w:szCs w:val="20"/>
                <w:lang w:eastAsia="es-MX"/>
              </w:rPr>
            </w:pPr>
            <w:r w:rsidRPr="00AB6225">
              <w:rPr>
                <w:rFonts w:ascii="Arial" w:eastAsia="Times New Roman" w:hAnsi="Arial" w:cs="Arial"/>
                <w:sz w:val="20"/>
                <w:szCs w:val="20"/>
                <w:lang w:eastAsia="es-MX"/>
              </w:rPr>
              <w:t>*100=</w:t>
            </w:r>
          </w:p>
        </w:tc>
        <w:tc>
          <w:tcPr>
            <w:tcW w:w="0" w:type="auto"/>
            <w:vMerge w:val="restart"/>
            <w:tcBorders>
              <w:top w:val="nil"/>
              <w:left w:val="nil"/>
              <w:bottom w:val="nil"/>
              <w:right w:val="nil"/>
            </w:tcBorders>
            <w:shd w:val="clear" w:color="000000" w:fill="FFFFFF"/>
            <w:noWrap/>
            <w:vAlign w:val="center"/>
            <w:hideMark/>
          </w:tcPr>
          <w:p w:rsidR="001C5ABF" w:rsidRPr="00AB6225" w:rsidRDefault="001C5ABF" w:rsidP="004D2099">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r w:rsidRPr="00AB6225">
              <w:rPr>
                <w:rFonts w:ascii="Arial" w:eastAsia="Times New Roman" w:hAnsi="Arial" w:cs="Arial"/>
                <w:sz w:val="20"/>
                <w:szCs w:val="20"/>
                <w:lang w:eastAsia="es-MX"/>
              </w:rPr>
              <w:t>-1</w:t>
            </w:r>
          </w:p>
        </w:tc>
        <w:tc>
          <w:tcPr>
            <w:tcW w:w="0" w:type="auto"/>
            <w:vMerge w:val="restart"/>
            <w:tcBorders>
              <w:top w:val="nil"/>
              <w:left w:val="nil"/>
              <w:bottom w:val="nil"/>
              <w:right w:val="nil"/>
            </w:tcBorders>
            <w:shd w:val="clear" w:color="000000" w:fill="FFFFFF"/>
            <w:noWrap/>
            <w:vAlign w:val="center"/>
            <w:hideMark/>
          </w:tcPr>
          <w:p w:rsidR="001C5ABF" w:rsidRPr="00AB6225" w:rsidRDefault="001C5ABF" w:rsidP="004D2099">
            <w:pPr>
              <w:spacing w:after="0" w:line="240" w:lineRule="auto"/>
              <w:jc w:val="center"/>
              <w:rPr>
                <w:rFonts w:ascii="Arial" w:eastAsia="Times New Roman" w:hAnsi="Arial" w:cs="Arial"/>
                <w:sz w:val="20"/>
                <w:szCs w:val="20"/>
                <w:lang w:eastAsia="es-MX"/>
              </w:rPr>
            </w:pPr>
            <w:r w:rsidRPr="00AB6225">
              <w:rPr>
                <w:rFonts w:ascii="Arial" w:eastAsia="Times New Roman" w:hAnsi="Arial" w:cs="Arial"/>
                <w:sz w:val="20"/>
                <w:szCs w:val="20"/>
                <w:lang w:eastAsia="es-MX"/>
              </w:rPr>
              <w:t>*100=</w:t>
            </w:r>
          </w:p>
        </w:tc>
        <w:tc>
          <w:tcPr>
            <w:tcW w:w="0" w:type="auto"/>
            <w:vMerge w:val="restart"/>
            <w:tcBorders>
              <w:top w:val="nil"/>
              <w:left w:val="nil"/>
              <w:bottom w:val="nil"/>
              <w:right w:val="nil"/>
            </w:tcBorders>
            <w:shd w:val="clear" w:color="000000" w:fill="FFFFFF"/>
            <w:noWrap/>
            <w:vAlign w:val="center"/>
            <w:hideMark/>
          </w:tcPr>
          <w:p w:rsidR="001C5ABF" w:rsidRPr="00AB6225" w:rsidRDefault="001C5ABF" w:rsidP="004D2099">
            <w:pPr>
              <w:spacing w:after="0" w:line="240" w:lineRule="auto"/>
              <w:jc w:val="center"/>
              <w:rPr>
                <w:rFonts w:ascii="Arial" w:eastAsia="Times New Roman" w:hAnsi="Arial" w:cs="Arial"/>
                <w:sz w:val="20"/>
                <w:szCs w:val="20"/>
                <w:lang w:eastAsia="es-MX"/>
              </w:rPr>
            </w:pPr>
            <w:r w:rsidRPr="00AB6225">
              <w:rPr>
                <w:rFonts w:ascii="Arial" w:eastAsia="Times New Roman" w:hAnsi="Arial" w:cs="Arial"/>
                <w:sz w:val="20"/>
                <w:szCs w:val="20"/>
                <w:lang w:eastAsia="es-MX"/>
              </w:rPr>
              <w:t xml:space="preserve">0 </w:t>
            </w:r>
          </w:p>
        </w:tc>
      </w:tr>
      <w:tr w:rsidR="001C5ABF" w:rsidRPr="00AB6225" w:rsidTr="004D2099">
        <w:trPr>
          <w:trHeight w:val="255"/>
          <w:jc w:val="center"/>
        </w:trPr>
        <w:tc>
          <w:tcPr>
            <w:tcW w:w="0" w:type="auto"/>
            <w:vMerge/>
            <w:tcBorders>
              <w:top w:val="nil"/>
              <w:left w:val="nil"/>
              <w:bottom w:val="nil"/>
              <w:right w:val="nil"/>
            </w:tcBorders>
            <w:vAlign w:val="center"/>
            <w:hideMark/>
          </w:tcPr>
          <w:p w:rsidR="001C5ABF" w:rsidRPr="00AB6225" w:rsidRDefault="001C5ABF" w:rsidP="004D2099">
            <w:pPr>
              <w:spacing w:after="0" w:line="240" w:lineRule="auto"/>
              <w:rPr>
                <w:rFonts w:eastAsia="Times New Roman" w:cs="Arial"/>
                <w:lang w:eastAsia="es-MX"/>
              </w:rPr>
            </w:pPr>
          </w:p>
        </w:tc>
        <w:tc>
          <w:tcPr>
            <w:tcW w:w="0" w:type="auto"/>
            <w:tcBorders>
              <w:top w:val="nil"/>
              <w:left w:val="nil"/>
              <w:bottom w:val="nil"/>
              <w:right w:val="nil"/>
            </w:tcBorders>
            <w:shd w:val="clear" w:color="000000" w:fill="FFFFFF"/>
            <w:noWrap/>
            <w:vAlign w:val="bottom"/>
            <w:hideMark/>
          </w:tcPr>
          <w:p w:rsidR="001C5ABF" w:rsidRPr="00AB6225" w:rsidRDefault="001C5ABF" w:rsidP="004D2099">
            <w:pPr>
              <w:spacing w:after="0" w:line="240" w:lineRule="auto"/>
              <w:rPr>
                <w:rFonts w:ascii="Arial" w:eastAsia="Times New Roman" w:hAnsi="Arial" w:cs="Arial"/>
                <w:sz w:val="20"/>
                <w:szCs w:val="20"/>
                <w:lang w:eastAsia="es-MX"/>
              </w:rPr>
            </w:pPr>
            <w:r w:rsidRPr="00AB6225">
              <w:rPr>
                <w:rFonts w:ascii="Arial" w:eastAsia="Times New Roman" w:hAnsi="Arial" w:cs="Arial"/>
                <w:sz w:val="20"/>
                <w:szCs w:val="20"/>
                <w:lang w:eastAsia="es-MX"/>
              </w:rPr>
              <w:t>MP</w:t>
            </w:r>
          </w:p>
        </w:tc>
        <w:tc>
          <w:tcPr>
            <w:tcW w:w="0" w:type="auto"/>
            <w:vMerge/>
            <w:tcBorders>
              <w:top w:val="nil"/>
              <w:left w:val="nil"/>
              <w:bottom w:val="nil"/>
              <w:right w:val="nil"/>
            </w:tcBorders>
            <w:vAlign w:val="center"/>
            <w:hideMark/>
          </w:tcPr>
          <w:p w:rsidR="001C5ABF" w:rsidRPr="00AB6225"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AB6225" w:rsidRDefault="001C5ABF" w:rsidP="004D2099">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000000" w:fill="FFFFFF"/>
            <w:noWrap/>
            <w:vAlign w:val="bottom"/>
            <w:hideMark/>
          </w:tcPr>
          <w:p w:rsidR="001C5ABF" w:rsidRPr="00AB6225" w:rsidRDefault="00810C78" w:rsidP="004D2099">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8</w:t>
            </w:r>
            <w:r w:rsidR="001C5ABF" w:rsidRPr="00AB6225">
              <w:rPr>
                <w:rFonts w:ascii="Arial" w:eastAsia="Times New Roman" w:hAnsi="Arial" w:cs="Arial"/>
                <w:sz w:val="20"/>
                <w:szCs w:val="20"/>
                <w:lang w:eastAsia="es-MX"/>
              </w:rPr>
              <w:t xml:space="preserve"> </w:t>
            </w:r>
          </w:p>
        </w:tc>
        <w:tc>
          <w:tcPr>
            <w:tcW w:w="0" w:type="auto"/>
            <w:vMerge/>
            <w:tcBorders>
              <w:top w:val="nil"/>
              <w:left w:val="nil"/>
              <w:bottom w:val="nil"/>
              <w:right w:val="nil"/>
            </w:tcBorders>
            <w:vAlign w:val="center"/>
            <w:hideMark/>
          </w:tcPr>
          <w:p w:rsidR="001C5ABF" w:rsidRPr="00AB6225"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AB6225"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AB6225"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AB6225"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AB6225" w:rsidRDefault="001C5ABF" w:rsidP="004D2099">
            <w:pPr>
              <w:spacing w:after="0" w:line="240" w:lineRule="auto"/>
              <w:rPr>
                <w:rFonts w:ascii="Arial" w:eastAsia="Times New Roman" w:hAnsi="Arial" w:cs="Arial"/>
                <w:sz w:val="20"/>
                <w:szCs w:val="20"/>
                <w:lang w:eastAsia="es-MX"/>
              </w:rPr>
            </w:pPr>
          </w:p>
        </w:tc>
      </w:tr>
    </w:tbl>
    <w:p w:rsidR="001C5ABF" w:rsidRDefault="001C5ABF" w:rsidP="001C5ABF">
      <w:pPr>
        <w:spacing w:after="0"/>
        <w:rPr>
          <w:lang w:eastAsia="en-AU"/>
        </w:rPr>
      </w:pPr>
    </w:p>
    <w:p w:rsidR="001C5ABF" w:rsidRDefault="001C5ABF" w:rsidP="001C5ABF">
      <w:pPr>
        <w:spacing w:after="0"/>
        <w:jc w:val="both"/>
        <w:rPr>
          <w:lang w:eastAsia="en-AU"/>
        </w:rPr>
      </w:pPr>
      <w:r w:rsidRPr="00187F42">
        <w:rPr>
          <w:lang w:eastAsia="en-AU"/>
        </w:rPr>
        <w:t>En donde si el resultado es mayor a cero, el proyecto ejecutó más o mayores componentes de los planeados; si es menor a cero, no se alcanzaron las metas planeadas y; si es igual a cero, la planeación fue adecuada. Si la variación es distinta de cero, ésta deberá justificarse.</w:t>
      </w:r>
    </w:p>
    <w:p w:rsidR="001C5ABF" w:rsidRDefault="001C5ABF" w:rsidP="001C5ABF">
      <w:pPr>
        <w:spacing w:after="0"/>
        <w:rPr>
          <w:lang w:eastAsia="en-AU"/>
        </w:rPr>
      </w:pPr>
    </w:p>
    <w:p w:rsidR="00810C78" w:rsidRDefault="00EF3EF2" w:rsidP="001C5ABF">
      <w:pPr>
        <w:rPr>
          <w:lang w:eastAsia="en-AU"/>
        </w:rPr>
      </w:pPr>
      <w:r w:rsidRPr="00AF0EE7">
        <w:rPr>
          <w:lang w:eastAsia="en-AU"/>
        </w:rPr>
        <w:t>La VEMF es igual a 0, por lo tanto se considera que la planeación fue adecuada.</w:t>
      </w:r>
    </w:p>
    <w:p w:rsidR="001700FE" w:rsidRDefault="001700FE" w:rsidP="001C5ABF">
      <w:pPr>
        <w:rPr>
          <w:lang w:eastAsia="en-AU"/>
        </w:rPr>
      </w:pPr>
    </w:p>
    <w:p w:rsidR="001700FE" w:rsidRDefault="001700FE" w:rsidP="001C5ABF">
      <w:pPr>
        <w:rPr>
          <w:lang w:eastAsia="en-AU"/>
        </w:rPr>
      </w:pPr>
    </w:p>
    <w:p w:rsidR="001700FE" w:rsidRDefault="001700FE" w:rsidP="001C5ABF">
      <w:pPr>
        <w:rPr>
          <w:lang w:eastAsia="en-AU"/>
        </w:rPr>
      </w:pPr>
    </w:p>
    <w:p w:rsidR="001700FE" w:rsidRDefault="001700FE" w:rsidP="001C5ABF">
      <w:pPr>
        <w:rPr>
          <w:lang w:eastAsia="en-AU"/>
        </w:rPr>
      </w:pPr>
    </w:p>
    <w:p w:rsidR="001700FE" w:rsidRDefault="001700FE" w:rsidP="001C5ABF">
      <w:pPr>
        <w:rPr>
          <w:lang w:eastAsia="en-AU"/>
        </w:rPr>
      </w:pPr>
    </w:p>
    <w:p w:rsidR="001700FE" w:rsidRDefault="001700FE" w:rsidP="001C5ABF">
      <w:pPr>
        <w:rPr>
          <w:lang w:eastAsia="en-AU"/>
        </w:rPr>
      </w:pPr>
    </w:p>
    <w:p w:rsidR="001700FE" w:rsidRDefault="001700FE" w:rsidP="001C5ABF">
      <w:pPr>
        <w:rPr>
          <w:lang w:eastAsia="en-AU"/>
        </w:rPr>
      </w:pPr>
    </w:p>
    <w:p w:rsidR="001700FE" w:rsidRDefault="001700FE" w:rsidP="001C5ABF">
      <w:pPr>
        <w:rPr>
          <w:lang w:eastAsia="en-AU"/>
        </w:rPr>
      </w:pPr>
    </w:p>
    <w:p w:rsidR="00810C78" w:rsidRPr="003E5D6F" w:rsidRDefault="00810C78" w:rsidP="00810C78">
      <w:pPr>
        <w:pStyle w:val="Ttulo1"/>
        <w:numPr>
          <w:ilvl w:val="0"/>
          <w:numId w:val="6"/>
        </w:numPr>
        <w:ind w:hanging="76"/>
        <w:rPr>
          <w:rFonts w:asciiTheme="minorHAnsi" w:hAnsiTheme="minorHAnsi"/>
          <w:sz w:val="24"/>
          <w:lang w:val="es-ES_tradnl"/>
        </w:rPr>
      </w:pPr>
      <w:bookmarkStart w:id="10" w:name="_Toc498519462"/>
      <w:r w:rsidRPr="003E5D6F">
        <w:rPr>
          <w:rFonts w:asciiTheme="minorHAnsi" w:hAnsiTheme="minorHAnsi"/>
          <w:sz w:val="24"/>
          <w:lang w:val="es-ES_tradnl"/>
        </w:rPr>
        <w:lastRenderedPageBreak/>
        <w:t>Cuantificación de las metas físicas programadas.</w:t>
      </w:r>
      <w:bookmarkEnd w:id="10"/>
    </w:p>
    <w:p w:rsidR="001C5ABF" w:rsidRDefault="001C5ABF" w:rsidP="001C5ABF">
      <w:pPr>
        <w:rPr>
          <w:lang w:eastAsia="en-AU"/>
        </w:rPr>
      </w:pPr>
      <w:r>
        <w:rPr>
          <w:lang w:eastAsia="en-AU"/>
        </w:rPr>
        <w:t>Las metas físicas anuales</w:t>
      </w:r>
      <w:r w:rsidR="00810C78">
        <w:rPr>
          <w:lang w:eastAsia="en-AU"/>
        </w:rPr>
        <w:t xml:space="preserve"> ex ante</w:t>
      </w:r>
      <w:r>
        <w:rPr>
          <w:lang w:eastAsia="en-AU"/>
        </w:rPr>
        <w:t xml:space="preserve"> se presentan en las siguientes tablas:</w:t>
      </w:r>
    </w:p>
    <w:p w:rsidR="001C5ABF" w:rsidRDefault="00810C78" w:rsidP="001C5ABF">
      <w:pPr>
        <w:pStyle w:val="Ttulo3"/>
        <w:ind w:left="-5"/>
        <w:jc w:val="center"/>
        <w:rPr>
          <w:color w:val="auto"/>
          <w:sz w:val="20"/>
          <w:szCs w:val="20"/>
        </w:rPr>
      </w:pPr>
      <w:bookmarkStart w:id="11" w:name="_Toc454708634"/>
      <w:bookmarkStart w:id="12" w:name="_Toc498519463"/>
      <w:r>
        <w:rPr>
          <w:color w:val="auto"/>
          <w:sz w:val="20"/>
          <w:szCs w:val="20"/>
        </w:rPr>
        <w:t>Tabla1</w:t>
      </w:r>
      <w:r w:rsidR="001C5ABF">
        <w:rPr>
          <w:color w:val="auto"/>
          <w:sz w:val="20"/>
          <w:szCs w:val="20"/>
        </w:rPr>
        <w:t>.</w:t>
      </w:r>
      <w:r w:rsidR="001C5ABF" w:rsidRPr="00D538BC">
        <w:rPr>
          <w:color w:val="auto"/>
          <w:sz w:val="20"/>
          <w:szCs w:val="20"/>
        </w:rPr>
        <w:t xml:space="preserve"> Metas físicas anuales y totales Ex Ante</w:t>
      </w:r>
      <w:bookmarkEnd w:id="11"/>
      <w:r>
        <w:rPr>
          <w:color w:val="auto"/>
          <w:sz w:val="20"/>
          <w:szCs w:val="20"/>
        </w:rPr>
        <w:t xml:space="preserve"> (pesos 2009)</w:t>
      </w:r>
      <w:r w:rsidR="00DF4A6F">
        <w:rPr>
          <w:color w:val="auto"/>
          <w:sz w:val="20"/>
          <w:szCs w:val="20"/>
        </w:rPr>
        <w:t>.</w:t>
      </w:r>
      <w:bookmarkEnd w:id="12"/>
    </w:p>
    <w:tbl>
      <w:tblPr>
        <w:tblW w:w="9776" w:type="dxa"/>
        <w:tblLayout w:type="fixed"/>
        <w:tblCellMar>
          <w:left w:w="70" w:type="dxa"/>
          <w:right w:w="70" w:type="dxa"/>
        </w:tblCellMar>
        <w:tblLook w:val="04A0" w:firstRow="1" w:lastRow="0" w:firstColumn="1" w:lastColumn="0" w:noHBand="0" w:noVBand="1"/>
      </w:tblPr>
      <w:tblGrid>
        <w:gridCol w:w="219"/>
        <w:gridCol w:w="2753"/>
        <w:gridCol w:w="1418"/>
        <w:gridCol w:w="850"/>
        <w:gridCol w:w="1559"/>
        <w:gridCol w:w="709"/>
        <w:gridCol w:w="1559"/>
        <w:gridCol w:w="709"/>
      </w:tblGrid>
      <w:tr w:rsidR="00810C78" w:rsidRPr="00810C78" w:rsidTr="00810C78">
        <w:trPr>
          <w:trHeight w:val="300"/>
        </w:trPr>
        <w:tc>
          <w:tcPr>
            <w:tcW w:w="9776" w:type="dxa"/>
            <w:gridSpan w:val="8"/>
            <w:tcBorders>
              <w:top w:val="single" w:sz="4" w:space="0" w:color="auto"/>
              <w:left w:val="single" w:sz="4" w:space="0" w:color="auto"/>
              <w:bottom w:val="single" w:sz="4" w:space="0" w:color="auto"/>
              <w:right w:val="single" w:sz="4" w:space="0" w:color="000000"/>
            </w:tcBorders>
            <w:shd w:val="clear" w:color="000000" w:fill="C00000"/>
            <w:noWrap/>
            <w:vAlign w:val="bottom"/>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 xml:space="preserve">Metas </w:t>
            </w:r>
            <w:r w:rsidR="008C1B23" w:rsidRPr="00810C78">
              <w:rPr>
                <w:rFonts w:ascii="Calibri" w:eastAsia="Times New Roman" w:hAnsi="Calibri" w:cs="Calibri"/>
                <w:b/>
                <w:bCs/>
                <w:color w:val="FFFFFF"/>
                <w:sz w:val="18"/>
                <w:szCs w:val="18"/>
                <w:lang w:eastAsia="es-MX"/>
              </w:rPr>
              <w:t>Físicas</w:t>
            </w:r>
            <w:r w:rsidRPr="00810C78">
              <w:rPr>
                <w:rFonts w:ascii="Calibri" w:eastAsia="Times New Roman" w:hAnsi="Calibri" w:cs="Calibri"/>
                <w:b/>
                <w:bCs/>
                <w:color w:val="FFFFFF"/>
                <w:sz w:val="18"/>
                <w:szCs w:val="18"/>
                <w:lang w:eastAsia="es-MX"/>
              </w:rPr>
              <w:t xml:space="preserve"> ex ante sin IVA (pesos 2009)</w:t>
            </w:r>
          </w:p>
        </w:tc>
      </w:tr>
      <w:tr w:rsidR="00810C78" w:rsidRPr="00810C78" w:rsidTr="00810C78">
        <w:trPr>
          <w:trHeight w:val="300"/>
        </w:trPr>
        <w:tc>
          <w:tcPr>
            <w:tcW w:w="2972" w:type="dxa"/>
            <w:gridSpan w:val="2"/>
            <w:vMerge w:val="restart"/>
            <w:tcBorders>
              <w:top w:val="single" w:sz="4" w:space="0" w:color="auto"/>
              <w:left w:val="single" w:sz="4" w:space="0" w:color="auto"/>
              <w:bottom w:val="single" w:sz="4" w:space="0" w:color="auto"/>
              <w:right w:val="single" w:sz="4" w:space="0" w:color="auto"/>
            </w:tcBorders>
            <w:shd w:val="clear" w:color="000000" w:fill="C00000"/>
            <w:noWrap/>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 xml:space="preserve">Metas </w:t>
            </w:r>
            <w:r w:rsidR="008C1B23" w:rsidRPr="00810C78">
              <w:rPr>
                <w:rFonts w:ascii="Calibri" w:eastAsia="Times New Roman" w:hAnsi="Calibri" w:cs="Calibri"/>
                <w:b/>
                <w:bCs/>
                <w:color w:val="FFFFFF"/>
                <w:sz w:val="18"/>
                <w:szCs w:val="18"/>
                <w:lang w:eastAsia="es-MX"/>
              </w:rPr>
              <w:t>Físicas</w:t>
            </w:r>
          </w:p>
        </w:tc>
        <w:tc>
          <w:tcPr>
            <w:tcW w:w="2268" w:type="dxa"/>
            <w:gridSpan w:val="2"/>
            <w:tcBorders>
              <w:top w:val="single" w:sz="4" w:space="0" w:color="auto"/>
              <w:left w:val="nil"/>
              <w:bottom w:val="single" w:sz="4" w:space="0" w:color="auto"/>
              <w:right w:val="single" w:sz="4" w:space="0" w:color="auto"/>
            </w:tcBorders>
            <w:shd w:val="clear" w:color="000000" w:fill="C00000"/>
            <w:noWrap/>
            <w:vAlign w:val="bottom"/>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2008</w:t>
            </w:r>
          </w:p>
        </w:tc>
        <w:tc>
          <w:tcPr>
            <w:tcW w:w="2268" w:type="dxa"/>
            <w:gridSpan w:val="2"/>
            <w:tcBorders>
              <w:top w:val="single" w:sz="4" w:space="0" w:color="auto"/>
              <w:left w:val="nil"/>
              <w:bottom w:val="single" w:sz="4" w:space="0" w:color="auto"/>
              <w:right w:val="single" w:sz="4" w:space="0" w:color="auto"/>
            </w:tcBorders>
            <w:shd w:val="clear" w:color="000000" w:fill="C00000"/>
            <w:noWrap/>
            <w:vAlign w:val="bottom"/>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2009</w:t>
            </w:r>
          </w:p>
        </w:tc>
        <w:tc>
          <w:tcPr>
            <w:tcW w:w="2268" w:type="dxa"/>
            <w:gridSpan w:val="2"/>
            <w:tcBorders>
              <w:top w:val="single" w:sz="4" w:space="0" w:color="auto"/>
              <w:left w:val="nil"/>
              <w:bottom w:val="single" w:sz="4" w:space="0" w:color="auto"/>
              <w:right w:val="single" w:sz="4" w:space="0" w:color="auto"/>
            </w:tcBorders>
            <w:shd w:val="clear" w:color="000000" w:fill="C00000"/>
            <w:noWrap/>
            <w:vAlign w:val="bottom"/>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Total</w:t>
            </w:r>
          </w:p>
        </w:tc>
      </w:tr>
      <w:tr w:rsidR="00810C78" w:rsidRPr="00810C78" w:rsidTr="00810C78">
        <w:trPr>
          <w:trHeight w:val="300"/>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rsidR="00810C78" w:rsidRPr="00810C78" w:rsidRDefault="00810C78" w:rsidP="00810C78">
            <w:pPr>
              <w:spacing w:after="0" w:line="240" w:lineRule="auto"/>
              <w:rPr>
                <w:rFonts w:ascii="Calibri" w:eastAsia="Times New Roman" w:hAnsi="Calibri" w:cs="Calibri"/>
                <w:b/>
                <w:bCs/>
                <w:color w:val="FFFFFF"/>
                <w:sz w:val="18"/>
                <w:szCs w:val="18"/>
                <w:lang w:eastAsia="es-MX"/>
              </w:rPr>
            </w:pPr>
          </w:p>
        </w:tc>
        <w:tc>
          <w:tcPr>
            <w:tcW w:w="1418"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Monto</w:t>
            </w:r>
          </w:p>
        </w:tc>
        <w:tc>
          <w:tcPr>
            <w:tcW w:w="850"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Avance %</w:t>
            </w:r>
          </w:p>
        </w:tc>
        <w:tc>
          <w:tcPr>
            <w:tcW w:w="1559"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Monto</w:t>
            </w:r>
          </w:p>
        </w:tc>
        <w:tc>
          <w:tcPr>
            <w:tcW w:w="709"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Avance %</w:t>
            </w:r>
          </w:p>
        </w:tc>
        <w:tc>
          <w:tcPr>
            <w:tcW w:w="1559" w:type="dxa"/>
            <w:tcBorders>
              <w:top w:val="nil"/>
              <w:left w:val="nil"/>
              <w:bottom w:val="single" w:sz="4" w:space="0" w:color="auto"/>
              <w:right w:val="single" w:sz="4" w:space="0" w:color="auto"/>
            </w:tcBorders>
            <w:shd w:val="clear" w:color="000000" w:fill="C00000"/>
            <w:noWrap/>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Monto</w:t>
            </w:r>
          </w:p>
        </w:tc>
        <w:tc>
          <w:tcPr>
            <w:tcW w:w="709"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Avance %</w:t>
            </w:r>
          </w:p>
        </w:tc>
      </w:tr>
      <w:tr w:rsidR="00810C78" w:rsidRPr="00810C78" w:rsidTr="00810C78">
        <w:trPr>
          <w:trHeight w:val="315"/>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w:t>
            </w:r>
          </w:p>
        </w:tc>
        <w:tc>
          <w:tcPr>
            <w:tcW w:w="2753" w:type="dxa"/>
            <w:tcBorders>
              <w:top w:val="nil"/>
              <w:left w:val="nil"/>
              <w:bottom w:val="single" w:sz="4" w:space="0" w:color="auto"/>
              <w:right w:val="single" w:sz="4" w:space="0" w:color="auto"/>
            </w:tcBorders>
            <w:shd w:val="clear" w:color="auto" w:fill="auto"/>
            <w:vAlign w:val="center"/>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Construcción 11.1 kilómetros de vía</w:t>
            </w:r>
          </w:p>
        </w:tc>
        <w:tc>
          <w:tcPr>
            <w:tcW w:w="1418" w:type="dxa"/>
            <w:tcBorders>
              <w:top w:val="nil"/>
              <w:left w:val="nil"/>
              <w:bottom w:val="single" w:sz="4" w:space="0" w:color="auto"/>
              <w:right w:val="single" w:sz="4" w:space="0" w:color="auto"/>
            </w:tcBorders>
            <w:shd w:val="clear" w:color="auto" w:fill="auto"/>
            <w:noWrap/>
            <w:vAlign w:val="center"/>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106,023,994.78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106,023,994.78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10C78">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2</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C1B23" w:rsidP="00810C78">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 xml:space="preserve">Construcción del Puente </w:t>
            </w:r>
            <w:proofErr w:type="spellStart"/>
            <w:r>
              <w:rPr>
                <w:rFonts w:ascii="Calibri" w:eastAsia="Times New Roman" w:hAnsi="Calibri" w:cs="Calibri"/>
                <w:color w:val="000000"/>
                <w:sz w:val="18"/>
                <w:szCs w:val="18"/>
                <w:lang w:eastAsia="es-MX"/>
              </w:rPr>
              <w:t>Coata</w:t>
            </w:r>
            <w:r w:rsidR="00810C78" w:rsidRPr="00810C78">
              <w:rPr>
                <w:rFonts w:ascii="Calibri" w:eastAsia="Times New Roman" w:hAnsi="Calibri" w:cs="Calibri"/>
                <w:color w:val="000000"/>
                <w:sz w:val="18"/>
                <w:szCs w:val="18"/>
                <w:lang w:eastAsia="es-MX"/>
              </w:rPr>
              <w:t>n</w:t>
            </w:r>
            <w:proofErr w:type="spellEnd"/>
          </w:p>
        </w:tc>
        <w:tc>
          <w:tcPr>
            <w:tcW w:w="1418" w:type="dxa"/>
            <w:tcBorders>
              <w:top w:val="nil"/>
              <w:left w:val="nil"/>
              <w:bottom w:val="single" w:sz="4" w:space="0" w:color="auto"/>
              <w:right w:val="single" w:sz="4" w:space="0" w:color="auto"/>
            </w:tcBorders>
            <w:shd w:val="clear" w:color="auto" w:fill="auto"/>
            <w:noWrap/>
            <w:vAlign w:val="center"/>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70,450,000.00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70,450,000.00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10C78">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3</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Construcción del Puente Hidalgo</w:t>
            </w:r>
          </w:p>
        </w:tc>
        <w:tc>
          <w:tcPr>
            <w:tcW w:w="1418" w:type="dxa"/>
            <w:tcBorders>
              <w:top w:val="nil"/>
              <w:left w:val="nil"/>
              <w:bottom w:val="single" w:sz="4" w:space="0" w:color="auto"/>
              <w:right w:val="single" w:sz="4" w:space="0" w:color="auto"/>
            </w:tcBorders>
            <w:shd w:val="clear" w:color="auto" w:fill="auto"/>
            <w:noWrap/>
            <w:vAlign w:val="center"/>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5,000,000.00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5,000,000.00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10C78">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4</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Construcción de un Paso Superior Ferroviario</w:t>
            </w:r>
          </w:p>
        </w:tc>
        <w:tc>
          <w:tcPr>
            <w:tcW w:w="1418" w:type="dxa"/>
            <w:tcBorders>
              <w:top w:val="nil"/>
              <w:left w:val="nil"/>
              <w:bottom w:val="single" w:sz="4" w:space="0" w:color="auto"/>
              <w:right w:val="single" w:sz="4" w:space="0" w:color="auto"/>
            </w:tcBorders>
            <w:shd w:val="clear" w:color="auto" w:fill="auto"/>
            <w:noWrap/>
            <w:vAlign w:val="center"/>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16,000,000.00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16,000,000.00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10C78">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5</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Construcción del Puente Río Florido</w:t>
            </w:r>
          </w:p>
        </w:tc>
        <w:tc>
          <w:tcPr>
            <w:tcW w:w="1418" w:type="dxa"/>
            <w:tcBorders>
              <w:top w:val="nil"/>
              <w:left w:val="nil"/>
              <w:bottom w:val="single" w:sz="4" w:space="0" w:color="auto"/>
              <w:right w:val="single" w:sz="4" w:space="0" w:color="auto"/>
            </w:tcBorders>
            <w:shd w:val="clear" w:color="auto" w:fill="auto"/>
            <w:noWrap/>
            <w:vAlign w:val="center"/>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6,000,000.00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6,000,000.00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10C78">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6</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Adquisición de Material</w:t>
            </w:r>
          </w:p>
        </w:tc>
        <w:tc>
          <w:tcPr>
            <w:tcW w:w="1418"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64,381,825.26 </w:t>
            </w:r>
          </w:p>
        </w:tc>
        <w:tc>
          <w:tcPr>
            <w:tcW w:w="850"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bottom"/>
          </w:tcPr>
          <w:p w:rsidR="00810C78" w:rsidRPr="00810C78" w:rsidRDefault="00810C78" w:rsidP="00810C78">
            <w:pPr>
              <w:spacing w:after="0" w:line="240" w:lineRule="auto"/>
              <w:rPr>
                <w:rFonts w:ascii="Calibri" w:eastAsia="Times New Roman" w:hAnsi="Calibri" w:cs="Calibri"/>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64,381,825.26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r>
      <w:tr w:rsidR="00810C78" w:rsidRPr="00810C78" w:rsidTr="00810C78">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7</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Liberación del derecho de vía</w:t>
            </w:r>
          </w:p>
        </w:tc>
        <w:tc>
          <w:tcPr>
            <w:tcW w:w="1418" w:type="dxa"/>
            <w:tcBorders>
              <w:top w:val="nil"/>
              <w:left w:val="nil"/>
              <w:bottom w:val="single" w:sz="4" w:space="0" w:color="auto"/>
              <w:right w:val="single" w:sz="4" w:space="0" w:color="auto"/>
            </w:tcBorders>
            <w:shd w:val="clear" w:color="auto" w:fill="auto"/>
            <w:noWrap/>
            <w:vAlign w:val="center"/>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15,000,000.00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15,000,000.00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10C78">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8</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Levantamiento de vías</w:t>
            </w:r>
          </w:p>
        </w:tc>
        <w:tc>
          <w:tcPr>
            <w:tcW w:w="1418" w:type="dxa"/>
            <w:tcBorders>
              <w:top w:val="nil"/>
              <w:left w:val="nil"/>
              <w:bottom w:val="single" w:sz="4" w:space="0" w:color="auto"/>
              <w:right w:val="single" w:sz="4" w:space="0" w:color="auto"/>
            </w:tcBorders>
            <w:shd w:val="clear" w:color="auto" w:fill="auto"/>
            <w:noWrap/>
            <w:vAlign w:val="center"/>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p>
        </w:tc>
        <w:tc>
          <w:tcPr>
            <w:tcW w:w="850"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1,959,263.80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1,959,263.80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10C78">
        <w:trPr>
          <w:trHeight w:val="300"/>
        </w:trPr>
        <w:tc>
          <w:tcPr>
            <w:tcW w:w="2972"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Total</w:t>
            </w:r>
          </w:p>
        </w:tc>
        <w:tc>
          <w:tcPr>
            <w:tcW w:w="1418"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64,381,825.26 </w:t>
            </w:r>
          </w:p>
        </w:tc>
        <w:tc>
          <w:tcPr>
            <w:tcW w:w="850"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w:t>
            </w:r>
          </w:p>
        </w:tc>
        <w:tc>
          <w:tcPr>
            <w:tcW w:w="1559"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220,433,258.58 </w:t>
            </w:r>
          </w:p>
        </w:tc>
        <w:tc>
          <w:tcPr>
            <w:tcW w:w="709"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w:t>
            </w:r>
          </w:p>
        </w:tc>
        <w:tc>
          <w:tcPr>
            <w:tcW w:w="1559"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284,815,083.85 </w:t>
            </w:r>
          </w:p>
        </w:tc>
        <w:tc>
          <w:tcPr>
            <w:tcW w:w="709"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100%</w:t>
            </w:r>
          </w:p>
        </w:tc>
      </w:tr>
    </w:tbl>
    <w:p w:rsidR="001C5ABF" w:rsidRDefault="001C5ABF" w:rsidP="00DF4A6F">
      <w:pPr>
        <w:jc w:val="center"/>
        <w:rPr>
          <w:sz w:val="18"/>
          <w:szCs w:val="18"/>
          <w:lang w:eastAsia="en-AU"/>
        </w:rPr>
      </w:pP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1C5ABF" w:rsidRPr="00E018E4" w:rsidRDefault="001C5ABF" w:rsidP="001C5ABF">
      <w:pPr>
        <w:rPr>
          <w:sz w:val="18"/>
          <w:szCs w:val="18"/>
          <w:lang w:eastAsia="en-AU"/>
        </w:rPr>
      </w:pPr>
    </w:p>
    <w:p w:rsidR="001C5ABF" w:rsidRPr="00D538BC" w:rsidRDefault="001C5ABF" w:rsidP="001C5ABF">
      <w:pPr>
        <w:pStyle w:val="Ttulo3"/>
        <w:ind w:left="-5"/>
        <w:jc w:val="center"/>
        <w:rPr>
          <w:color w:val="auto"/>
          <w:sz w:val="20"/>
          <w:szCs w:val="20"/>
        </w:rPr>
      </w:pPr>
      <w:bookmarkStart w:id="13" w:name="_Toc454708635"/>
      <w:bookmarkStart w:id="14" w:name="_Toc498519464"/>
      <w:r>
        <w:rPr>
          <w:color w:val="auto"/>
          <w:sz w:val="20"/>
          <w:szCs w:val="20"/>
        </w:rPr>
        <w:t>Tabla</w:t>
      </w:r>
      <w:r w:rsidR="00810C78">
        <w:rPr>
          <w:color w:val="auto"/>
          <w:sz w:val="20"/>
          <w:szCs w:val="20"/>
        </w:rPr>
        <w:t xml:space="preserve"> 2</w:t>
      </w:r>
      <w:r>
        <w:rPr>
          <w:color w:val="auto"/>
          <w:sz w:val="20"/>
          <w:szCs w:val="20"/>
        </w:rPr>
        <w:t xml:space="preserve">. </w:t>
      </w:r>
      <w:r w:rsidRPr="00D538BC">
        <w:rPr>
          <w:color w:val="auto"/>
          <w:sz w:val="20"/>
          <w:szCs w:val="20"/>
        </w:rPr>
        <w:t>Metas físicas anuales y to</w:t>
      </w:r>
      <w:r w:rsidR="00810C78">
        <w:rPr>
          <w:color w:val="auto"/>
          <w:sz w:val="20"/>
          <w:szCs w:val="20"/>
        </w:rPr>
        <w:t>tales Ex Ante (a precios de 2017</w:t>
      </w:r>
      <w:r w:rsidRPr="00D538BC">
        <w:rPr>
          <w:color w:val="auto"/>
          <w:sz w:val="20"/>
          <w:szCs w:val="20"/>
        </w:rPr>
        <w:t>)</w:t>
      </w:r>
      <w:bookmarkEnd w:id="13"/>
      <w:r w:rsidR="00810C78">
        <w:rPr>
          <w:color w:val="auto"/>
          <w:sz w:val="20"/>
          <w:szCs w:val="20"/>
        </w:rPr>
        <w:t>.</w:t>
      </w:r>
      <w:bookmarkEnd w:id="14"/>
    </w:p>
    <w:tbl>
      <w:tblPr>
        <w:tblW w:w="9776" w:type="dxa"/>
        <w:tblLayout w:type="fixed"/>
        <w:tblCellMar>
          <w:left w:w="70" w:type="dxa"/>
          <w:right w:w="70" w:type="dxa"/>
        </w:tblCellMar>
        <w:tblLook w:val="04A0" w:firstRow="1" w:lastRow="0" w:firstColumn="1" w:lastColumn="0" w:noHBand="0" w:noVBand="1"/>
      </w:tblPr>
      <w:tblGrid>
        <w:gridCol w:w="219"/>
        <w:gridCol w:w="2753"/>
        <w:gridCol w:w="1419"/>
        <w:gridCol w:w="707"/>
        <w:gridCol w:w="1701"/>
        <w:gridCol w:w="709"/>
        <w:gridCol w:w="1559"/>
        <w:gridCol w:w="709"/>
      </w:tblGrid>
      <w:tr w:rsidR="00810C78" w:rsidRPr="00810C78" w:rsidTr="00810C78">
        <w:trPr>
          <w:trHeight w:val="300"/>
        </w:trPr>
        <w:tc>
          <w:tcPr>
            <w:tcW w:w="9776" w:type="dxa"/>
            <w:gridSpan w:val="8"/>
            <w:tcBorders>
              <w:top w:val="single" w:sz="4" w:space="0" w:color="auto"/>
              <w:left w:val="single" w:sz="4" w:space="0" w:color="auto"/>
              <w:bottom w:val="single" w:sz="4" w:space="0" w:color="auto"/>
              <w:right w:val="single" w:sz="4" w:space="0" w:color="000000"/>
            </w:tcBorders>
            <w:shd w:val="clear" w:color="000000" w:fill="C00000"/>
            <w:noWrap/>
            <w:vAlign w:val="bottom"/>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 xml:space="preserve">Metas </w:t>
            </w:r>
            <w:r w:rsidR="008C1B23" w:rsidRPr="00810C78">
              <w:rPr>
                <w:rFonts w:ascii="Calibri" w:eastAsia="Times New Roman" w:hAnsi="Calibri" w:cs="Calibri"/>
                <w:b/>
                <w:bCs/>
                <w:color w:val="FFFFFF"/>
                <w:sz w:val="18"/>
                <w:szCs w:val="18"/>
                <w:lang w:eastAsia="es-MX"/>
              </w:rPr>
              <w:t>Físicas</w:t>
            </w:r>
            <w:r w:rsidRPr="00810C78">
              <w:rPr>
                <w:rFonts w:ascii="Calibri" w:eastAsia="Times New Roman" w:hAnsi="Calibri" w:cs="Calibri"/>
                <w:b/>
                <w:bCs/>
                <w:color w:val="FFFFFF"/>
                <w:sz w:val="18"/>
                <w:szCs w:val="18"/>
                <w:lang w:eastAsia="es-MX"/>
              </w:rPr>
              <w:t xml:space="preserve"> ex ante sin IVA (pesos 2017)</w:t>
            </w:r>
          </w:p>
        </w:tc>
      </w:tr>
      <w:tr w:rsidR="00810C78" w:rsidRPr="00810C78" w:rsidTr="008C1B23">
        <w:trPr>
          <w:trHeight w:val="300"/>
        </w:trPr>
        <w:tc>
          <w:tcPr>
            <w:tcW w:w="2972" w:type="dxa"/>
            <w:gridSpan w:val="2"/>
            <w:vMerge w:val="restart"/>
            <w:tcBorders>
              <w:top w:val="single" w:sz="4" w:space="0" w:color="auto"/>
              <w:left w:val="single" w:sz="4" w:space="0" w:color="auto"/>
              <w:bottom w:val="single" w:sz="4" w:space="0" w:color="auto"/>
              <w:right w:val="single" w:sz="4" w:space="0" w:color="auto"/>
            </w:tcBorders>
            <w:shd w:val="clear" w:color="000000" w:fill="C00000"/>
            <w:noWrap/>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 xml:space="preserve">Metas </w:t>
            </w:r>
            <w:r w:rsidR="008C1B23" w:rsidRPr="00810C78">
              <w:rPr>
                <w:rFonts w:ascii="Calibri" w:eastAsia="Times New Roman" w:hAnsi="Calibri" w:cs="Calibri"/>
                <w:b/>
                <w:bCs/>
                <w:color w:val="FFFFFF"/>
                <w:sz w:val="18"/>
                <w:szCs w:val="18"/>
                <w:lang w:eastAsia="es-MX"/>
              </w:rPr>
              <w:t>Físicas</w:t>
            </w:r>
          </w:p>
        </w:tc>
        <w:tc>
          <w:tcPr>
            <w:tcW w:w="2126" w:type="dxa"/>
            <w:gridSpan w:val="2"/>
            <w:tcBorders>
              <w:top w:val="single" w:sz="4" w:space="0" w:color="auto"/>
              <w:left w:val="nil"/>
              <w:bottom w:val="single" w:sz="4" w:space="0" w:color="auto"/>
              <w:right w:val="single" w:sz="4" w:space="0" w:color="auto"/>
            </w:tcBorders>
            <w:shd w:val="clear" w:color="000000" w:fill="C00000"/>
            <w:noWrap/>
            <w:vAlign w:val="bottom"/>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2008</w:t>
            </w:r>
          </w:p>
        </w:tc>
        <w:tc>
          <w:tcPr>
            <w:tcW w:w="2410" w:type="dxa"/>
            <w:gridSpan w:val="2"/>
            <w:tcBorders>
              <w:top w:val="single" w:sz="4" w:space="0" w:color="auto"/>
              <w:left w:val="nil"/>
              <w:bottom w:val="single" w:sz="4" w:space="0" w:color="auto"/>
              <w:right w:val="single" w:sz="4" w:space="0" w:color="auto"/>
            </w:tcBorders>
            <w:shd w:val="clear" w:color="000000" w:fill="C00000"/>
            <w:noWrap/>
            <w:vAlign w:val="bottom"/>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2009</w:t>
            </w:r>
          </w:p>
        </w:tc>
        <w:tc>
          <w:tcPr>
            <w:tcW w:w="2268" w:type="dxa"/>
            <w:gridSpan w:val="2"/>
            <w:tcBorders>
              <w:top w:val="single" w:sz="4" w:space="0" w:color="auto"/>
              <w:left w:val="nil"/>
              <w:bottom w:val="single" w:sz="4" w:space="0" w:color="auto"/>
              <w:right w:val="single" w:sz="4" w:space="0" w:color="auto"/>
            </w:tcBorders>
            <w:shd w:val="clear" w:color="000000" w:fill="C00000"/>
            <w:noWrap/>
            <w:vAlign w:val="bottom"/>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Total</w:t>
            </w:r>
          </w:p>
        </w:tc>
      </w:tr>
      <w:tr w:rsidR="00810C78" w:rsidRPr="00810C78" w:rsidTr="008C1B23">
        <w:trPr>
          <w:trHeight w:val="300"/>
        </w:trPr>
        <w:tc>
          <w:tcPr>
            <w:tcW w:w="2972" w:type="dxa"/>
            <w:gridSpan w:val="2"/>
            <w:vMerge/>
            <w:tcBorders>
              <w:top w:val="single" w:sz="4" w:space="0" w:color="auto"/>
              <w:left w:val="single" w:sz="4" w:space="0" w:color="auto"/>
              <w:bottom w:val="single" w:sz="4" w:space="0" w:color="auto"/>
              <w:right w:val="single" w:sz="4" w:space="0" w:color="auto"/>
            </w:tcBorders>
            <w:vAlign w:val="center"/>
            <w:hideMark/>
          </w:tcPr>
          <w:p w:rsidR="00810C78" w:rsidRPr="00810C78" w:rsidRDefault="00810C78" w:rsidP="00810C78">
            <w:pPr>
              <w:spacing w:after="0" w:line="240" w:lineRule="auto"/>
              <w:rPr>
                <w:rFonts w:ascii="Calibri" w:eastAsia="Times New Roman" w:hAnsi="Calibri" w:cs="Calibri"/>
                <w:b/>
                <w:bCs/>
                <w:color w:val="FFFFFF"/>
                <w:sz w:val="18"/>
                <w:szCs w:val="18"/>
                <w:lang w:eastAsia="es-MX"/>
              </w:rPr>
            </w:pPr>
          </w:p>
        </w:tc>
        <w:tc>
          <w:tcPr>
            <w:tcW w:w="1419"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Monto</w:t>
            </w:r>
          </w:p>
        </w:tc>
        <w:tc>
          <w:tcPr>
            <w:tcW w:w="707"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Avance %</w:t>
            </w:r>
          </w:p>
        </w:tc>
        <w:tc>
          <w:tcPr>
            <w:tcW w:w="1701"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Monto</w:t>
            </w:r>
          </w:p>
        </w:tc>
        <w:tc>
          <w:tcPr>
            <w:tcW w:w="709"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Avance %</w:t>
            </w:r>
          </w:p>
        </w:tc>
        <w:tc>
          <w:tcPr>
            <w:tcW w:w="1559" w:type="dxa"/>
            <w:tcBorders>
              <w:top w:val="nil"/>
              <w:left w:val="nil"/>
              <w:bottom w:val="single" w:sz="4" w:space="0" w:color="auto"/>
              <w:right w:val="single" w:sz="4" w:space="0" w:color="auto"/>
            </w:tcBorders>
            <w:shd w:val="clear" w:color="000000" w:fill="C00000"/>
            <w:noWrap/>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Monto</w:t>
            </w:r>
          </w:p>
        </w:tc>
        <w:tc>
          <w:tcPr>
            <w:tcW w:w="709" w:type="dxa"/>
            <w:tcBorders>
              <w:top w:val="nil"/>
              <w:left w:val="nil"/>
              <w:bottom w:val="single" w:sz="4" w:space="0" w:color="auto"/>
              <w:right w:val="single" w:sz="4" w:space="0" w:color="auto"/>
            </w:tcBorders>
            <w:shd w:val="clear" w:color="000000" w:fill="C00000"/>
            <w:vAlign w:val="center"/>
            <w:hideMark/>
          </w:tcPr>
          <w:p w:rsidR="00810C78" w:rsidRPr="00810C78" w:rsidRDefault="00810C78" w:rsidP="00810C78">
            <w:pPr>
              <w:spacing w:after="0" w:line="240" w:lineRule="auto"/>
              <w:jc w:val="center"/>
              <w:rPr>
                <w:rFonts w:ascii="Calibri" w:eastAsia="Times New Roman" w:hAnsi="Calibri" w:cs="Calibri"/>
                <w:b/>
                <w:bCs/>
                <w:color w:val="FFFFFF"/>
                <w:sz w:val="18"/>
                <w:szCs w:val="18"/>
                <w:lang w:eastAsia="es-MX"/>
              </w:rPr>
            </w:pPr>
            <w:r w:rsidRPr="00810C78">
              <w:rPr>
                <w:rFonts w:ascii="Calibri" w:eastAsia="Times New Roman" w:hAnsi="Calibri" w:cs="Calibri"/>
                <w:b/>
                <w:bCs/>
                <w:color w:val="FFFFFF"/>
                <w:sz w:val="18"/>
                <w:szCs w:val="18"/>
                <w:lang w:eastAsia="es-MX"/>
              </w:rPr>
              <w:t>Avance %</w:t>
            </w:r>
          </w:p>
        </w:tc>
      </w:tr>
      <w:tr w:rsidR="00810C78" w:rsidRPr="00810C78" w:rsidTr="008C1B23">
        <w:trPr>
          <w:trHeight w:val="315"/>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w:t>
            </w:r>
          </w:p>
        </w:tc>
        <w:tc>
          <w:tcPr>
            <w:tcW w:w="2753" w:type="dxa"/>
            <w:tcBorders>
              <w:top w:val="nil"/>
              <w:left w:val="nil"/>
              <w:bottom w:val="single" w:sz="4" w:space="0" w:color="auto"/>
              <w:right w:val="single" w:sz="4" w:space="0" w:color="auto"/>
            </w:tcBorders>
            <w:shd w:val="clear" w:color="auto" w:fill="auto"/>
            <w:vAlign w:val="center"/>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Construcción 11.1 kilómetros de vía</w:t>
            </w:r>
          </w:p>
        </w:tc>
        <w:tc>
          <w:tcPr>
            <w:tcW w:w="141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   </w:t>
            </w:r>
          </w:p>
        </w:tc>
        <w:tc>
          <w:tcPr>
            <w:tcW w:w="707"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141,589,220.78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141,589,220.78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C1B23">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2</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Construcción del Puente </w:t>
            </w:r>
            <w:proofErr w:type="spellStart"/>
            <w:r w:rsidRPr="00810C78">
              <w:rPr>
                <w:rFonts w:ascii="Calibri" w:eastAsia="Times New Roman" w:hAnsi="Calibri" w:cs="Calibri"/>
                <w:color w:val="000000"/>
                <w:sz w:val="18"/>
                <w:szCs w:val="18"/>
                <w:lang w:eastAsia="es-MX"/>
              </w:rPr>
              <w:t>Coatan</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   </w:t>
            </w:r>
          </w:p>
        </w:tc>
        <w:tc>
          <w:tcPr>
            <w:tcW w:w="707"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94,082,104.95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94,082,104.95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C1B23">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3</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Construcción del Puente Hidalgo</w:t>
            </w:r>
          </w:p>
        </w:tc>
        <w:tc>
          <w:tcPr>
            <w:tcW w:w="141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   </w:t>
            </w:r>
          </w:p>
        </w:tc>
        <w:tc>
          <w:tcPr>
            <w:tcW w:w="707"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6,677,225.33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6,677,225.33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C1B23">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4</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Construcción de un Paso Superior Ferroviario</w:t>
            </w:r>
          </w:p>
        </w:tc>
        <w:tc>
          <w:tcPr>
            <w:tcW w:w="141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   </w:t>
            </w:r>
          </w:p>
        </w:tc>
        <w:tc>
          <w:tcPr>
            <w:tcW w:w="707"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21,367,121.07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21,367,121.07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C1B23">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5</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Construcción del Puente Río Florido</w:t>
            </w:r>
          </w:p>
        </w:tc>
        <w:tc>
          <w:tcPr>
            <w:tcW w:w="141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   </w:t>
            </w:r>
          </w:p>
        </w:tc>
        <w:tc>
          <w:tcPr>
            <w:tcW w:w="707"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8,012,670.40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8,012,670.40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C1B23">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6</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Adquisición de Material</w:t>
            </w:r>
          </w:p>
        </w:tc>
        <w:tc>
          <w:tcPr>
            <w:tcW w:w="141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85,978,390.93 </w:t>
            </w:r>
          </w:p>
        </w:tc>
        <w:tc>
          <w:tcPr>
            <w:tcW w:w="707"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85,978,390.93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r>
      <w:tr w:rsidR="00810C78" w:rsidRPr="00810C78" w:rsidTr="008C1B23">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7</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Liberación del derecho de vía</w:t>
            </w:r>
          </w:p>
        </w:tc>
        <w:tc>
          <w:tcPr>
            <w:tcW w:w="141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   </w:t>
            </w:r>
          </w:p>
        </w:tc>
        <w:tc>
          <w:tcPr>
            <w:tcW w:w="707"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20,031,676.00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20,031,676.00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C1B23">
        <w:trPr>
          <w:trHeight w:val="300"/>
        </w:trPr>
        <w:tc>
          <w:tcPr>
            <w:tcW w:w="219" w:type="dxa"/>
            <w:tcBorders>
              <w:top w:val="nil"/>
              <w:left w:val="single" w:sz="4" w:space="0" w:color="auto"/>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8</w:t>
            </w:r>
          </w:p>
        </w:tc>
        <w:tc>
          <w:tcPr>
            <w:tcW w:w="2753"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Levantamiento de vías</w:t>
            </w:r>
          </w:p>
        </w:tc>
        <w:tc>
          <w:tcPr>
            <w:tcW w:w="141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   </w:t>
            </w:r>
          </w:p>
        </w:tc>
        <w:tc>
          <w:tcPr>
            <w:tcW w:w="707"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rsidR="00810C78" w:rsidRPr="00810C78" w:rsidRDefault="00810C78" w:rsidP="00810C78">
            <w:pPr>
              <w:spacing w:after="0" w:line="240" w:lineRule="auto"/>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2,616,489.18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c>
          <w:tcPr>
            <w:tcW w:w="155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2,616,489.18 </w:t>
            </w:r>
          </w:p>
        </w:tc>
        <w:tc>
          <w:tcPr>
            <w:tcW w:w="709" w:type="dxa"/>
            <w:tcBorders>
              <w:top w:val="nil"/>
              <w:left w:val="nil"/>
              <w:bottom w:val="single" w:sz="4" w:space="0" w:color="auto"/>
              <w:right w:val="single" w:sz="4" w:space="0" w:color="auto"/>
            </w:tcBorders>
            <w:shd w:val="clear" w:color="auto" w:fill="auto"/>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14%</w:t>
            </w:r>
          </w:p>
        </w:tc>
      </w:tr>
      <w:tr w:rsidR="00810C78" w:rsidRPr="00810C78" w:rsidTr="008C1B23">
        <w:trPr>
          <w:trHeight w:val="300"/>
        </w:trPr>
        <w:tc>
          <w:tcPr>
            <w:tcW w:w="2972"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Total</w:t>
            </w:r>
          </w:p>
        </w:tc>
        <w:tc>
          <w:tcPr>
            <w:tcW w:w="1419"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85,978,390.93 </w:t>
            </w:r>
          </w:p>
        </w:tc>
        <w:tc>
          <w:tcPr>
            <w:tcW w:w="707"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w:t>
            </w:r>
          </w:p>
        </w:tc>
        <w:tc>
          <w:tcPr>
            <w:tcW w:w="1701"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294,376,507.71 </w:t>
            </w:r>
          </w:p>
        </w:tc>
        <w:tc>
          <w:tcPr>
            <w:tcW w:w="709"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w:t>
            </w:r>
          </w:p>
        </w:tc>
        <w:tc>
          <w:tcPr>
            <w:tcW w:w="1559"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 xml:space="preserve"> $  380,354,898.64 </w:t>
            </w:r>
          </w:p>
        </w:tc>
        <w:tc>
          <w:tcPr>
            <w:tcW w:w="709" w:type="dxa"/>
            <w:tcBorders>
              <w:top w:val="nil"/>
              <w:left w:val="nil"/>
              <w:bottom w:val="single" w:sz="4" w:space="0" w:color="auto"/>
              <w:right w:val="single" w:sz="4" w:space="0" w:color="auto"/>
            </w:tcBorders>
            <w:shd w:val="clear" w:color="000000" w:fill="F2DCDB"/>
            <w:noWrap/>
            <w:vAlign w:val="center"/>
            <w:hideMark/>
          </w:tcPr>
          <w:p w:rsidR="00810C78" w:rsidRPr="00810C78" w:rsidRDefault="00810C78" w:rsidP="00810C78">
            <w:pPr>
              <w:spacing w:after="0" w:line="240" w:lineRule="auto"/>
              <w:jc w:val="center"/>
              <w:rPr>
                <w:rFonts w:ascii="Calibri" w:eastAsia="Times New Roman" w:hAnsi="Calibri" w:cs="Calibri"/>
                <w:color w:val="000000"/>
                <w:sz w:val="18"/>
                <w:szCs w:val="18"/>
                <w:lang w:eastAsia="es-MX"/>
              </w:rPr>
            </w:pPr>
            <w:r w:rsidRPr="00810C78">
              <w:rPr>
                <w:rFonts w:ascii="Calibri" w:eastAsia="Times New Roman" w:hAnsi="Calibri" w:cs="Calibri"/>
                <w:color w:val="000000"/>
                <w:sz w:val="18"/>
                <w:szCs w:val="18"/>
                <w:lang w:eastAsia="es-MX"/>
              </w:rPr>
              <w:t>100%</w:t>
            </w:r>
          </w:p>
        </w:tc>
      </w:tr>
    </w:tbl>
    <w:p w:rsidR="001C5ABF" w:rsidRPr="00810C78" w:rsidRDefault="001C5ABF" w:rsidP="001C5ABF">
      <w:pPr>
        <w:rPr>
          <w:sz w:val="18"/>
          <w:szCs w:val="18"/>
          <w:lang w:eastAsia="en-AU"/>
        </w:rPr>
      </w:pP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810C78" w:rsidRDefault="00810C78" w:rsidP="001C5ABF">
      <w:pPr>
        <w:rPr>
          <w:lang w:eastAsia="en-AU"/>
        </w:rPr>
      </w:pPr>
    </w:p>
    <w:p w:rsidR="00810C78" w:rsidRDefault="00810C78" w:rsidP="001C5ABF">
      <w:pPr>
        <w:rPr>
          <w:lang w:eastAsia="en-AU"/>
        </w:rPr>
      </w:pPr>
    </w:p>
    <w:p w:rsidR="00810C78" w:rsidRDefault="00810C78" w:rsidP="001C5ABF">
      <w:pPr>
        <w:rPr>
          <w:lang w:eastAsia="en-AU"/>
        </w:rPr>
      </w:pPr>
    </w:p>
    <w:p w:rsidR="00810C78" w:rsidRDefault="00810C78" w:rsidP="001C5ABF">
      <w:pPr>
        <w:rPr>
          <w:lang w:eastAsia="en-AU"/>
        </w:rPr>
      </w:pPr>
    </w:p>
    <w:p w:rsidR="00810C78" w:rsidRDefault="00810C78" w:rsidP="001C5ABF">
      <w:pPr>
        <w:rPr>
          <w:lang w:eastAsia="en-AU"/>
        </w:rPr>
      </w:pPr>
    </w:p>
    <w:p w:rsidR="00AF0EE7" w:rsidRPr="003E5D6F" w:rsidRDefault="00AF0EE7" w:rsidP="00AF0EE7">
      <w:pPr>
        <w:pStyle w:val="Ttulo1"/>
        <w:numPr>
          <w:ilvl w:val="0"/>
          <w:numId w:val="6"/>
        </w:numPr>
        <w:ind w:hanging="76"/>
        <w:rPr>
          <w:rFonts w:asciiTheme="minorHAnsi" w:hAnsiTheme="minorHAnsi"/>
          <w:sz w:val="24"/>
          <w:lang w:val="es-ES_tradnl"/>
        </w:rPr>
      </w:pPr>
      <w:bookmarkStart w:id="15" w:name="_Toc498519465"/>
      <w:r w:rsidRPr="003E5D6F">
        <w:rPr>
          <w:rFonts w:asciiTheme="minorHAnsi" w:hAnsiTheme="minorHAnsi"/>
          <w:sz w:val="24"/>
          <w:lang w:val="es-ES_tradnl"/>
        </w:rPr>
        <w:lastRenderedPageBreak/>
        <w:t>Cuantificación de las Metas Físicas Alcanzadas.</w:t>
      </w:r>
      <w:bookmarkEnd w:id="15"/>
    </w:p>
    <w:p w:rsidR="001C5ABF" w:rsidRDefault="001C5ABF" w:rsidP="001C5ABF">
      <w:pPr>
        <w:rPr>
          <w:lang w:eastAsia="en-AU"/>
        </w:rPr>
      </w:pPr>
      <w:r>
        <w:rPr>
          <w:lang w:eastAsia="en-AU"/>
        </w:rPr>
        <w:t>Las metas físicas anuales reales se muestran en las siguientes tablas:</w:t>
      </w:r>
    </w:p>
    <w:p w:rsidR="001C5ABF" w:rsidRPr="00D538BC" w:rsidRDefault="001C5ABF" w:rsidP="001C5ABF">
      <w:pPr>
        <w:pStyle w:val="Ttulo3"/>
        <w:ind w:left="-5"/>
        <w:jc w:val="center"/>
        <w:rPr>
          <w:color w:val="auto"/>
          <w:sz w:val="20"/>
          <w:szCs w:val="20"/>
        </w:rPr>
      </w:pPr>
      <w:bookmarkStart w:id="16" w:name="_Toc454708675"/>
      <w:bookmarkStart w:id="17" w:name="_Toc498519466"/>
      <w:r>
        <w:rPr>
          <w:color w:val="auto"/>
          <w:sz w:val="20"/>
          <w:szCs w:val="20"/>
        </w:rPr>
        <w:t>Tabla</w:t>
      </w:r>
      <w:r w:rsidR="00AF0EE7">
        <w:rPr>
          <w:color w:val="auto"/>
          <w:sz w:val="20"/>
          <w:szCs w:val="20"/>
        </w:rPr>
        <w:t xml:space="preserve"> 3</w:t>
      </w:r>
      <w:r w:rsidRPr="00D538BC">
        <w:rPr>
          <w:color w:val="auto"/>
          <w:sz w:val="20"/>
          <w:szCs w:val="20"/>
        </w:rPr>
        <w:t>. Metas físicas anuales y totales Ex Post (a precios de 2005)</w:t>
      </w:r>
      <w:bookmarkEnd w:id="16"/>
      <w:bookmarkEnd w:id="17"/>
    </w:p>
    <w:p w:rsidR="00810C78" w:rsidRDefault="00AF0EE7" w:rsidP="00AF0EE7">
      <w:pPr>
        <w:spacing w:after="0"/>
        <w:ind w:left="-1418"/>
        <w:rPr>
          <w:sz w:val="18"/>
          <w:szCs w:val="18"/>
          <w:lang w:eastAsia="en-AU"/>
        </w:rPr>
      </w:pPr>
      <w:r w:rsidRPr="00AF0EE7">
        <w:rPr>
          <w:noProof/>
          <w:lang w:eastAsia="es-MX"/>
        </w:rPr>
        <w:drawing>
          <wp:inline distT="0" distB="0" distL="0" distR="0">
            <wp:extent cx="7427138" cy="142875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8958" cy="1429100"/>
                    </a:xfrm>
                    <a:prstGeom prst="rect">
                      <a:avLst/>
                    </a:prstGeom>
                    <a:noFill/>
                    <a:ln>
                      <a:noFill/>
                    </a:ln>
                  </pic:spPr>
                </pic:pic>
              </a:graphicData>
            </a:graphic>
          </wp:inline>
        </w:drawing>
      </w:r>
    </w:p>
    <w:p w:rsidR="001C5ABF" w:rsidRPr="00E018E4" w:rsidRDefault="001C5ABF" w:rsidP="001C5ABF">
      <w:pPr>
        <w:rPr>
          <w:sz w:val="18"/>
          <w:szCs w:val="18"/>
          <w:lang w:eastAsia="en-AU"/>
        </w:rPr>
      </w:pP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1C5ABF" w:rsidRPr="00D538BC" w:rsidRDefault="001C5ABF" w:rsidP="001C5ABF">
      <w:pPr>
        <w:pStyle w:val="Ttulo3"/>
        <w:ind w:left="-5"/>
        <w:jc w:val="center"/>
        <w:rPr>
          <w:color w:val="auto"/>
          <w:sz w:val="20"/>
          <w:szCs w:val="20"/>
        </w:rPr>
      </w:pPr>
      <w:bookmarkStart w:id="18" w:name="_Toc454708676"/>
      <w:bookmarkStart w:id="19" w:name="_Toc498519467"/>
      <w:r>
        <w:rPr>
          <w:color w:val="auto"/>
          <w:sz w:val="20"/>
          <w:szCs w:val="20"/>
        </w:rPr>
        <w:t>Tabla</w:t>
      </w:r>
      <w:r w:rsidR="00AF0EE7">
        <w:rPr>
          <w:color w:val="auto"/>
          <w:sz w:val="20"/>
          <w:szCs w:val="20"/>
        </w:rPr>
        <w:t xml:space="preserve"> 4</w:t>
      </w:r>
      <w:r w:rsidRPr="00D538BC">
        <w:rPr>
          <w:color w:val="auto"/>
          <w:sz w:val="20"/>
          <w:szCs w:val="20"/>
        </w:rPr>
        <w:t>. Metas físicas anuales y totales Ex Post (a precios de 2015)</w:t>
      </w:r>
      <w:bookmarkEnd w:id="18"/>
      <w:bookmarkEnd w:id="19"/>
    </w:p>
    <w:p w:rsidR="00AF0EE7" w:rsidRDefault="00AF0EE7" w:rsidP="00AF0EE7">
      <w:pPr>
        <w:spacing w:after="0"/>
        <w:ind w:left="-1418"/>
        <w:rPr>
          <w:sz w:val="18"/>
          <w:szCs w:val="18"/>
          <w:lang w:eastAsia="en-AU"/>
        </w:rPr>
      </w:pPr>
      <w:r w:rsidRPr="00AF0EE7">
        <w:rPr>
          <w:noProof/>
          <w:lang w:eastAsia="es-MX"/>
        </w:rPr>
        <w:drawing>
          <wp:inline distT="0" distB="0" distL="0" distR="0">
            <wp:extent cx="7426960" cy="1428716"/>
            <wp:effectExtent l="0" t="0" r="254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7929" cy="1432750"/>
                    </a:xfrm>
                    <a:prstGeom prst="rect">
                      <a:avLst/>
                    </a:prstGeom>
                    <a:noFill/>
                    <a:ln>
                      <a:noFill/>
                    </a:ln>
                  </pic:spPr>
                </pic:pic>
              </a:graphicData>
            </a:graphic>
          </wp:inline>
        </w:drawing>
      </w:r>
    </w:p>
    <w:p w:rsidR="001C5ABF" w:rsidRDefault="001C5ABF" w:rsidP="001C5ABF">
      <w:pPr>
        <w:rPr>
          <w:sz w:val="18"/>
          <w:szCs w:val="18"/>
          <w:lang w:eastAsia="en-AU"/>
        </w:rPr>
      </w:pP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w:t>
      </w:r>
      <w:r>
        <w:rPr>
          <w:sz w:val="18"/>
          <w:szCs w:val="18"/>
          <w:lang w:eastAsia="en-AU"/>
        </w:rPr>
        <w:t>mo de Tehuantepec, S.A. de C.V.</w:t>
      </w:r>
    </w:p>
    <w:p w:rsidR="00AF0EE7" w:rsidRPr="003E5D6F" w:rsidRDefault="00085FBF" w:rsidP="00AF0EE7">
      <w:pPr>
        <w:pStyle w:val="Ttulo1"/>
        <w:numPr>
          <w:ilvl w:val="0"/>
          <w:numId w:val="6"/>
        </w:numPr>
        <w:ind w:right="-376" w:hanging="76"/>
        <w:rPr>
          <w:rFonts w:asciiTheme="minorHAnsi" w:hAnsiTheme="minorHAnsi"/>
          <w:sz w:val="24"/>
          <w:lang w:val="es-ES_tradnl"/>
        </w:rPr>
      </w:pPr>
      <w:bookmarkStart w:id="20" w:name="_Toc498519468"/>
      <w:r>
        <w:rPr>
          <w:rFonts w:asciiTheme="minorHAnsi" w:hAnsiTheme="minorHAnsi"/>
          <w:sz w:val="24"/>
          <w:lang w:val="es-ES_tradnl"/>
        </w:rPr>
        <w:t>Justificación de la variación porcentual de cumplimiento de m</w:t>
      </w:r>
      <w:r w:rsidR="00AF0EE7" w:rsidRPr="003E5D6F">
        <w:rPr>
          <w:rFonts w:asciiTheme="minorHAnsi" w:hAnsiTheme="minorHAnsi"/>
          <w:sz w:val="24"/>
          <w:lang w:val="es-ES_tradnl"/>
        </w:rPr>
        <w:t>e</w:t>
      </w:r>
      <w:r>
        <w:rPr>
          <w:rFonts w:asciiTheme="minorHAnsi" w:hAnsiTheme="minorHAnsi"/>
          <w:sz w:val="24"/>
          <w:lang w:val="es-ES_tradnl"/>
        </w:rPr>
        <w:t>tas f</w:t>
      </w:r>
      <w:r w:rsidR="00AF0EE7" w:rsidRPr="003E5D6F">
        <w:rPr>
          <w:rFonts w:asciiTheme="minorHAnsi" w:hAnsiTheme="minorHAnsi"/>
          <w:sz w:val="24"/>
          <w:lang w:val="es-ES_tradnl"/>
        </w:rPr>
        <w:t>ísicas.</w:t>
      </w:r>
      <w:bookmarkEnd w:id="20"/>
    </w:p>
    <w:p w:rsidR="00AF0EE7" w:rsidRDefault="00AF0EE7" w:rsidP="00AF0EE7">
      <w:pPr>
        <w:rPr>
          <w:lang w:eastAsia="en-AU"/>
        </w:rPr>
      </w:pPr>
      <w:r w:rsidRPr="00AF0EE7">
        <w:rPr>
          <w:lang w:eastAsia="en-AU"/>
        </w:rPr>
        <w:t>La VEMF es igual a 0, por lo tanto se considera que la planeación fue adecuada.</w:t>
      </w:r>
    </w:p>
    <w:p w:rsidR="001C5ABF" w:rsidRPr="003E5D6F" w:rsidRDefault="00AF0EE7" w:rsidP="001C5ABF">
      <w:pPr>
        <w:pStyle w:val="Ttulo1"/>
        <w:numPr>
          <w:ilvl w:val="0"/>
          <w:numId w:val="6"/>
        </w:numPr>
        <w:ind w:right="-376" w:hanging="76"/>
        <w:rPr>
          <w:rFonts w:asciiTheme="minorHAnsi" w:hAnsiTheme="minorHAnsi"/>
          <w:sz w:val="24"/>
          <w:lang w:val="es-ES_tradnl"/>
        </w:rPr>
      </w:pPr>
      <w:bookmarkStart w:id="21" w:name="_Toc498519469"/>
      <w:r w:rsidRPr="003E5D6F">
        <w:rPr>
          <w:rFonts w:asciiTheme="minorHAnsi" w:hAnsiTheme="minorHAnsi"/>
          <w:sz w:val="24"/>
          <w:lang w:val="es-ES_tradnl"/>
        </w:rPr>
        <w:t>Variación en el cumplimiento de inicio de ejecución.</w:t>
      </w:r>
      <w:bookmarkEnd w:id="21"/>
    </w:p>
    <w:p w:rsidR="001C5ABF" w:rsidRDefault="001C5ABF" w:rsidP="001C5ABF">
      <w:pPr>
        <w:rPr>
          <w:lang w:eastAsia="en-AU"/>
        </w:rPr>
      </w:pPr>
      <w:r>
        <w:rPr>
          <w:lang w:eastAsia="en-AU"/>
        </w:rPr>
        <w:t>Para calcular la variación del cumplimiento del inicio de la ejecución se utiliza la siguiente formula:</w:t>
      </w:r>
    </w:p>
    <w:p w:rsidR="001C5ABF" w:rsidRDefault="001C5ABF" w:rsidP="001C5ABF">
      <w:pPr>
        <w:jc w:val="center"/>
        <w:rPr>
          <w:lang w:eastAsia="en-AU"/>
        </w:rPr>
      </w:pPr>
      <w:r>
        <w:rPr>
          <w:noProof/>
          <w:lang w:eastAsia="es-MX"/>
        </w:rPr>
        <w:drawing>
          <wp:inline distT="0" distB="0" distL="0" distR="0" wp14:anchorId="2CB42533" wp14:editId="1603E614">
            <wp:extent cx="1047750" cy="190500"/>
            <wp:effectExtent l="0" t="0" r="0" b="0"/>
            <wp:docPr id="5"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p>
    <w:p w:rsidR="001C5ABF" w:rsidRDefault="001C5ABF" w:rsidP="001C5ABF">
      <w:pPr>
        <w:spacing w:after="0"/>
        <w:rPr>
          <w:lang w:eastAsia="en-AU"/>
        </w:rPr>
      </w:pPr>
      <w:r>
        <w:rPr>
          <w:lang w:eastAsia="en-AU"/>
        </w:rPr>
        <w:t>VCIE= Variación de cumplimiento de inicio de ejecución programado/planeado.</w:t>
      </w:r>
      <w:r>
        <w:rPr>
          <w:lang w:eastAsia="en-AU"/>
        </w:rPr>
        <w:tab/>
      </w:r>
      <w:r>
        <w:rPr>
          <w:lang w:eastAsia="en-AU"/>
        </w:rPr>
        <w:tab/>
      </w:r>
      <w:r>
        <w:rPr>
          <w:lang w:eastAsia="en-AU"/>
        </w:rPr>
        <w:tab/>
      </w:r>
    </w:p>
    <w:p w:rsidR="001C5ABF" w:rsidRDefault="001C5ABF" w:rsidP="001C5ABF">
      <w:pPr>
        <w:spacing w:after="0"/>
        <w:rPr>
          <w:lang w:eastAsia="en-AU"/>
        </w:rPr>
      </w:pPr>
      <w:r>
        <w:rPr>
          <w:lang w:eastAsia="en-AU"/>
        </w:rPr>
        <w:t>FIR = Fecha de inicio de ejecución real (</w:t>
      </w:r>
      <w:r w:rsidR="00AF0EE7">
        <w:rPr>
          <w:rFonts w:eastAsia="Times New Roman" w:cs="Arial"/>
          <w:lang w:eastAsia="es-MX"/>
        </w:rPr>
        <w:t>10-Mayo-2010</w:t>
      </w:r>
      <w:r>
        <w:rPr>
          <w:rFonts w:eastAsia="Times New Roman" w:cs="Arial"/>
          <w:lang w:eastAsia="es-MX"/>
        </w:rPr>
        <w:t>)</w:t>
      </w:r>
      <w:r>
        <w:rPr>
          <w:lang w:eastAsia="en-AU"/>
        </w:rPr>
        <w:t>.</w:t>
      </w:r>
      <w:r>
        <w:rPr>
          <w:lang w:eastAsia="en-AU"/>
        </w:rPr>
        <w:tab/>
      </w:r>
      <w:r>
        <w:rPr>
          <w:lang w:eastAsia="en-AU"/>
        </w:rPr>
        <w:tab/>
      </w:r>
      <w:r>
        <w:rPr>
          <w:lang w:eastAsia="en-AU"/>
        </w:rPr>
        <w:tab/>
      </w:r>
    </w:p>
    <w:p w:rsidR="001C5ABF" w:rsidRDefault="001C5ABF" w:rsidP="001C5ABF">
      <w:pPr>
        <w:spacing w:after="0"/>
        <w:rPr>
          <w:lang w:eastAsia="en-AU"/>
        </w:rPr>
      </w:pPr>
      <w:r>
        <w:rPr>
          <w:lang w:eastAsia="en-AU"/>
        </w:rPr>
        <w:t>FIP = Fecha de inicio de ejecución programado/planeado (</w:t>
      </w:r>
      <w:r w:rsidRPr="009A0C44">
        <w:rPr>
          <w:rFonts w:eastAsia="Times New Roman" w:cs="Arial"/>
          <w:lang w:eastAsia="es-MX"/>
        </w:rPr>
        <w:t>01</w:t>
      </w:r>
      <w:r w:rsidR="00AF0EE7">
        <w:rPr>
          <w:rFonts w:eastAsia="Times New Roman" w:cs="Arial"/>
          <w:lang w:eastAsia="es-MX"/>
        </w:rPr>
        <w:t>-</w:t>
      </w:r>
      <w:r w:rsidR="00D73197">
        <w:rPr>
          <w:rFonts w:eastAsia="Times New Roman" w:cs="Arial"/>
          <w:lang w:eastAsia="es-MX"/>
        </w:rPr>
        <w:t>03-2009</w:t>
      </w:r>
      <w:r>
        <w:rPr>
          <w:rFonts w:eastAsia="Times New Roman" w:cs="Arial"/>
          <w:lang w:eastAsia="es-MX"/>
        </w:rPr>
        <w:t>).</w:t>
      </w:r>
      <w:r>
        <w:rPr>
          <w:lang w:eastAsia="en-AU"/>
        </w:rPr>
        <w:tab/>
      </w:r>
      <w:r>
        <w:rPr>
          <w:lang w:eastAsia="en-AU"/>
        </w:rPr>
        <w:tab/>
      </w:r>
      <w:r>
        <w:rPr>
          <w:lang w:eastAsia="en-AU"/>
        </w:rPr>
        <w:tab/>
      </w:r>
      <w:r>
        <w:rPr>
          <w:lang w:eastAsia="en-AU"/>
        </w:rPr>
        <w:tab/>
      </w:r>
    </w:p>
    <w:p w:rsidR="001C5ABF" w:rsidRPr="009A0C44" w:rsidRDefault="001C5ABF" w:rsidP="001C5ABF">
      <w:pPr>
        <w:spacing w:after="0"/>
        <w:rPr>
          <w:sz w:val="10"/>
          <w:lang w:eastAsia="en-AU"/>
        </w:rPr>
      </w:pPr>
    </w:p>
    <w:tbl>
      <w:tblPr>
        <w:tblW w:w="0" w:type="auto"/>
        <w:jc w:val="center"/>
        <w:tblCellMar>
          <w:left w:w="70" w:type="dxa"/>
          <w:right w:w="70" w:type="dxa"/>
        </w:tblCellMar>
        <w:tblLook w:val="04A0" w:firstRow="1" w:lastRow="0" w:firstColumn="1" w:lastColumn="0" w:noHBand="0" w:noVBand="1"/>
      </w:tblPr>
      <w:tblGrid>
        <w:gridCol w:w="655"/>
        <w:gridCol w:w="864"/>
        <w:gridCol w:w="3042"/>
        <w:gridCol w:w="908"/>
      </w:tblGrid>
      <w:tr w:rsidR="001C5ABF" w:rsidRPr="00187F42" w:rsidTr="004D2099">
        <w:trPr>
          <w:trHeight w:val="269"/>
          <w:jc w:val="center"/>
        </w:trPr>
        <w:tc>
          <w:tcPr>
            <w:tcW w:w="0" w:type="auto"/>
            <w:vMerge w:val="restart"/>
            <w:tcBorders>
              <w:top w:val="nil"/>
              <w:left w:val="nil"/>
              <w:bottom w:val="nil"/>
              <w:right w:val="nil"/>
            </w:tcBorders>
            <w:shd w:val="clear" w:color="000000" w:fill="FFFFFF"/>
            <w:noWrap/>
            <w:vAlign w:val="center"/>
            <w:hideMark/>
          </w:tcPr>
          <w:p w:rsidR="001C5ABF" w:rsidRPr="00187F42" w:rsidRDefault="001C5ABF" w:rsidP="004D2099">
            <w:pPr>
              <w:spacing w:after="0" w:line="240" w:lineRule="auto"/>
              <w:jc w:val="center"/>
              <w:rPr>
                <w:rFonts w:eastAsia="Times New Roman" w:cs="Arial"/>
                <w:lang w:eastAsia="es-MX"/>
              </w:rPr>
            </w:pPr>
            <w:r>
              <w:rPr>
                <w:rFonts w:eastAsia="Times New Roman" w:cs="Arial"/>
                <w:lang w:eastAsia="en-AU"/>
              </w:rPr>
              <w:t>VCIE</w:t>
            </w:r>
            <w:r w:rsidRPr="00187F42">
              <w:rPr>
                <w:rFonts w:eastAsia="Times New Roman" w:cs="Arial"/>
                <w:lang w:eastAsia="en-AU"/>
              </w:rPr>
              <w:t>=</w:t>
            </w:r>
          </w:p>
        </w:tc>
        <w:tc>
          <w:tcPr>
            <w:tcW w:w="0" w:type="auto"/>
            <w:vMerge w:val="restart"/>
            <w:tcBorders>
              <w:top w:val="nil"/>
              <w:left w:val="nil"/>
              <w:bottom w:val="nil"/>
              <w:right w:val="nil"/>
            </w:tcBorders>
            <w:shd w:val="clear" w:color="000000" w:fill="FFFFFF"/>
            <w:noWrap/>
            <w:vAlign w:val="center"/>
            <w:hideMark/>
          </w:tcPr>
          <w:p w:rsidR="001C5ABF" w:rsidRPr="00187F42" w:rsidRDefault="001C5ABF" w:rsidP="004D2099">
            <w:pPr>
              <w:spacing w:after="0" w:line="240" w:lineRule="auto"/>
              <w:jc w:val="center"/>
              <w:rPr>
                <w:rFonts w:eastAsia="Times New Roman" w:cs="Arial"/>
                <w:lang w:eastAsia="es-MX"/>
              </w:rPr>
            </w:pPr>
            <w:r w:rsidRPr="00187F42">
              <w:rPr>
                <w:rFonts w:eastAsia="Times New Roman" w:cs="Arial"/>
                <w:lang w:eastAsia="en-AU"/>
              </w:rPr>
              <w:t>FIR-FIP=</w:t>
            </w:r>
          </w:p>
        </w:tc>
        <w:tc>
          <w:tcPr>
            <w:tcW w:w="0" w:type="auto"/>
            <w:vMerge w:val="restart"/>
            <w:tcBorders>
              <w:top w:val="nil"/>
              <w:left w:val="nil"/>
              <w:bottom w:val="nil"/>
              <w:right w:val="nil"/>
            </w:tcBorders>
            <w:shd w:val="clear" w:color="000000" w:fill="FFFFFF"/>
            <w:noWrap/>
            <w:vAlign w:val="center"/>
            <w:hideMark/>
          </w:tcPr>
          <w:p w:rsidR="001C5ABF" w:rsidRPr="00187F42" w:rsidRDefault="001C5ABF" w:rsidP="004D2099">
            <w:pPr>
              <w:spacing w:after="0" w:line="240" w:lineRule="auto"/>
              <w:jc w:val="center"/>
              <w:rPr>
                <w:rFonts w:eastAsia="Times New Roman" w:cs="Arial"/>
                <w:lang w:eastAsia="es-MX"/>
              </w:rPr>
            </w:pPr>
            <w:r w:rsidRPr="009A0C44">
              <w:rPr>
                <w:rFonts w:eastAsia="Times New Roman" w:cs="Arial"/>
                <w:lang w:eastAsia="es-MX"/>
              </w:rPr>
              <w:t>02-junio-2005 – 01 marzo 2005</w:t>
            </w:r>
            <w:r w:rsidRPr="00187F42">
              <w:rPr>
                <w:rFonts w:eastAsia="Times New Roman" w:cs="Arial"/>
                <w:lang w:eastAsia="es-MX"/>
              </w:rPr>
              <w:t>=</w:t>
            </w:r>
          </w:p>
        </w:tc>
        <w:tc>
          <w:tcPr>
            <w:tcW w:w="0" w:type="auto"/>
            <w:vMerge w:val="restart"/>
            <w:tcBorders>
              <w:top w:val="nil"/>
              <w:left w:val="nil"/>
              <w:bottom w:val="nil"/>
              <w:right w:val="nil"/>
            </w:tcBorders>
            <w:shd w:val="clear" w:color="000000" w:fill="FFFFFF"/>
            <w:noWrap/>
            <w:vAlign w:val="center"/>
            <w:hideMark/>
          </w:tcPr>
          <w:p w:rsidR="001C5ABF" w:rsidRPr="00187F42" w:rsidRDefault="00D73197" w:rsidP="004D2099">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395</w:t>
            </w:r>
            <w:r w:rsidR="001C5ABF" w:rsidRPr="00187F42">
              <w:rPr>
                <w:rFonts w:ascii="Arial" w:eastAsia="Times New Roman" w:hAnsi="Arial" w:cs="Arial"/>
                <w:sz w:val="20"/>
                <w:szCs w:val="20"/>
                <w:lang w:eastAsia="es-MX"/>
              </w:rPr>
              <w:t xml:space="preserve"> </w:t>
            </w:r>
            <w:r w:rsidR="001C5ABF">
              <w:rPr>
                <w:rFonts w:ascii="Arial" w:eastAsia="Times New Roman" w:hAnsi="Arial" w:cs="Arial"/>
                <w:sz w:val="20"/>
                <w:szCs w:val="20"/>
                <w:lang w:eastAsia="es-MX"/>
              </w:rPr>
              <w:t>días</w:t>
            </w:r>
          </w:p>
        </w:tc>
      </w:tr>
      <w:tr w:rsidR="001C5ABF" w:rsidRPr="00187F42" w:rsidTr="004D2099">
        <w:trPr>
          <w:trHeight w:val="450"/>
          <w:jc w:val="center"/>
        </w:trPr>
        <w:tc>
          <w:tcPr>
            <w:tcW w:w="0" w:type="auto"/>
            <w:vMerge/>
            <w:tcBorders>
              <w:top w:val="nil"/>
              <w:left w:val="nil"/>
              <w:bottom w:val="nil"/>
              <w:right w:val="nil"/>
            </w:tcBorders>
            <w:vAlign w:val="center"/>
            <w:hideMark/>
          </w:tcPr>
          <w:p w:rsidR="001C5ABF" w:rsidRPr="00187F42" w:rsidRDefault="001C5ABF" w:rsidP="004D2099">
            <w:pPr>
              <w:spacing w:after="0" w:line="240" w:lineRule="auto"/>
              <w:rPr>
                <w:rFonts w:eastAsia="Times New Roman" w:cs="Arial"/>
                <w:lang w:eastAsia="es-MX"/>
              </w:rPr>
            </w:pPr>
          </w:p>
        </w:tc>
        <w:tc>
          <w:tcPr>
            <w:tcW w:w="0" w:type="auto"/>
            <w:vMerge/>
            <w:tcBorders>
              <w:top w:val="nil"/>
              <w:left w:val="nil"/>
              <w:bottom w:val="nil"/>
              <w:right w:val="nil"/>
            </w:tcBorders>
            <w:vAlign w:val="center"/>
            <w:hideMark/>
          </w:tcPr>
          <w:p w:rsidR="001C5ABF" w:rsidRPr="00187F42" w:rsidRDefault="001C5ABF" w:rsidP="004D2099">
            <w:pPr>
              <w:spacing w:after="0" w:line="240" w:lineRule="auto"/>
              <w:rPr>
                <w:rFonts w:eastAsia="Times New Roman" w:cs="Arial"/>
                <w:lang w:eastAsia="es-MX"/>
              </w:rPr>
            </w:pPr>
          </w:p>
        </w:tc>
        <w:tc>
          <w:tcPr>
            <w:tcW w:w="0" w:type="auto"/>
            <w:vMerge/>
            <w:tcBorders>
              <w:top w:val="nil"/>
              <w:left w:val="nil"/>
              <w:bottom w:val="nil"/>
              <w:right w:val="nil"/>
            </w:tcBorders>
            <w:vAlign w:val="center"/>
            <w:hideMark/>
          </w:tcPr>
          <w:p w:rsidR="001C5ABF" w:rsidRPr="00187F42" w:rsidRDefault="001C5ABF" w:rsidP="004D2099">
            <w:pPr>
              <w:spacing w:after="0" w:line="240" w:lineRule="auto"/>
              <w:rPr>
                <w:rFonts w:eastAsia="Times New Roman" w:cs="Arial"/>
                <w:lang w:eastAsia="es-MX"/>
              </w:rPr>
            </w:pPr>
          </w:p>
        </w:tc>
        <w:tc>
          <w:tcPr>
            <w:tcW w:w="0" w:type="auto"/>
            <w:vMerge/>
            <w:tcBorders>
              <w:top w:val="nil"/>
              <w:left w:val="nil"/>
              <w:bottom w:val="nil"/>
              <w:right w:val="nil"/>
            </w:tcBorders>
            <w:vAlign w:val="center"/>
            <w:hideMark/>
          </w:tcPr>
          <w:p w:rsidR="001C5ABF" w:rsidRPr="00187F42" w:rsidRDefault="001C5ABF" w:rsidP="004D2099">
            <w:pPr>
              <w:spacing w:after="0" w:line="240" w:lineRule="auto"/>
              <w:rPr>
                <w:rFonts w:ascii="Arial" w:eastAsia="Times New Roman" w:hAnsi="Arial" w:cs="Arial"/>
                <w:sz w:val="20"/>
                <w:szCs w:val="20"/>
                <w:lang w:eastAsia="es-MX"/>
              </w:rPr>
            </w:pPr>
          </w:p>
        </w:tc>
      </w:tr>
    </w:tbl>
    <w:p w:rsidR="001C5ABF" w:rsidRDefault="001C5ABF" w:rsidP="001C5ABF">
      <w:pPr>
        <w:jc w:val="both"/>
        <w:rPr>
          <w:lang w:eastAsia="en-AU"/>
        </w:rPr>
      </w:pPr>
      <w:r w:rsidRPr="00187F42">
        <w:rPr>
          <w:lang w:eastAsia="en-AU"/>
        </w:rPr>
        <w:t>En donde si el resultado es mayor a cero, existe un retraso en el inicio de ejecución del proyecto; si es menor a cero, se inició antes de la fecha planeada y; si es igual a cero, la planeación es adecuada. Los resultados distintos de cero, deberán justificarse.</w:t>
      </w:r>
    </w:p>
    <w:p w:rsidR="001C5ABF" w:rsidRPr="003E5D6F" w:rsidRDefault="00D73197" w:rsidP="001C5ABF">
      <w:pPr>
        <w:spacing w:after="0"/>
        <w:rPr>
          <w:lang w:eastAsia="en-AU"/>
        </w:rPr>
      </w:pPr>
      <w:r w:rsidRPr="003E5D6F">
        <w:rPr>
          <w:lang w:eastAsia="en-AU"/>
        </w:rPr>
        <w:t>La VEMF es igual a 395</w:t>
      </w:r>
      <w:r w:rsidR="001C5ABF" w:rsidRPr="003E5D6F">
        <w:rPr>
          <w:lang w:eastAsia="en-AU"/>
        </w:rPr>
        <w:t xml:space="preserve"> días, existe un retraso en el inicio de ejecución del proyecto.</w:t>
      </w:r>
    </w:p>
    <w:p w:rsidR="00D73197" w:rsidRPr="009A0C44" w:rsidRDefault="00D73197" w:rsidP="001C5ABF">
      <w:pPr>
        <w:spacing w:after="0" w:line="240" w:lineRule="auto"/>
        <w:jc w:val="both"/>
        <w:rPr>
          <w:lang w:eastAsia="en-AU"/>
        </w:rPr>
      </w:pPr>
    </w:p>
    <w:p w:rsidR="001C5ABF" w:rsidRPr="003E5D6F" w:rsidRDefault="00085FBF" w:rsidP="00D73197">
      <w:pPr>
        <w:pStyle w:val="Ttulo1"/>
        <w:numPr>
          <w:ilvl w:val="0"/>
          <w:numId w:val="6"/>
        </w:numPr>
        <w:ind w:right="-376" w:hanging="76"/>
        <w:rPr>
          <w:rFonts w:asciiTheme="minorHAnsi" w:hAnsiTheme="minorHAnsi"/>
          <w:sz w:val="24"/>
          <w:lang w:val="es-ES_tradnl"/>
        </w:rPr>
      </w:pPr>
      <w:bookmarkStart w:id="22" w:name="_Toc498519470"/>
      <w:r>
        <w:rPr>
          <w:rFonts w:asciiTheme="minorHAnsi" w:hAnsiTheme="minorHAnsi"/>
          <w:sz w:val="24"/>
          <w:lang w:val="es-ES_tradnl"/>
        </w:rPr>
        <w:lastRenderedPageBreak/>
        <w:t>Fecha de inicio p</w:t>
      </w:r>
      <w:r w:rsidR="00D73197" w:rsidRPr="003E5D6F">
        <w:rPr>
          <w:rFonts w:asciiTheme="minorHAnsi" w:hAnsiTheme="minorHAnsi"/>
          <w:sz w:val="24"/>
          <w:lang w:val="es-ES_tradnl"/>
        </w:rPr>
        <w:t>rogramada.</w:t>
      </w:r>
      <w:bookmarkEnd w:id="22"/>
    </w:p>
    <w:p w:rsidR="001C5ABF" w:rsidRDefault="00EF3EF2" w:rsidP="001C5ABF">
      <w:pPr>
        <w:rPr>
          <w:lang w:eastAsia="en-AU"/>
        </w:rPr>
      </w:pPr>
      <w:r>
        <w:rPr>
          <w:lang w:eastAsia="en-AU"/>
        </w:rPr>
        <w:t xml:space="preserve">La fecha programada de ejecución fue </w:t>
      </w:r>
      <w:r w:rsidRPr="009A0C44">
        <w:rPr>
          <w:rFonts w:eastAsia="Times New Roman" w:cs="Arial"/>
          <w:lang w:eastAsia="es-MX"/>
        </w:rPr>
        <w:t>01</w:t>
      </w:r>
      <w:r>
        <w:rPr>
          <w:rFonts w:eastAsia="Times New Roman" w:cs="Arial"/>
          <w:lang w:eastAsia="es-MX"/>
        </w:rPr>
        <w:t>-03-2009; e</w:t>
      </w:r>
      <w:r w:rsidR="001C5ABF">
        <w:rPr>
          <w:lang w:eastAsia="en-AU"/>
        </w:rPr>
        <w:t>l calendario de actividades planeado se muestra a continuación:</w:t>
      </w:r>
    </w:p>
    <w:p w:rsidR="001C5ABF" w:rsidRPr="008C2657" w:rsidRDefault="001C5ABF" w:rsidP="001C5ABF">
      <w:pPr>
        <w:pStyle w:val="Ttulo3"/>
        <w:ind w:left="-5"/>
        <w:jc w:val="center"/>
        <w:rPr>
          <w:color w:val="auto"/>
          <w:sz w:val="20"/>
          <w:szCs w:val="20"/>
        </w:rPr>
      </w:pPr>
      <w:bookmarkStart w:id="23" w:name="_Toc454708625"/>
      <w:bookmarkStart w:id="24" w:name="_Toc498519471"/>
      <w:r>
        <w:rPr>
          <w:color w:val="auto"/>
          <w:sz w:val="20"/>
          <w:szCs w:val="20"/>
        </w:rPr>
        <w:t>Tabla</w:t>
      </w:r>
      <w:r w:rsidR="00DF4A6F">
        <w:rPr>
          <w:color w:val="auto"/>
          <w:sz w:val="20"/>
          <w:szCs w:val="20"/>
        </w:rPr>
        <w:t xml:space="preserve"> </w:t>
      </w:r>
      <w:r w:rsidR="00D73197">
        <w:rPr>
          <w:color w:val="auto"/>
          <w:sz w:val="20"/>
          <w:szCs w:val="20"/>
        </w:rPr>
        <w:t>5</w:t>
      </w:r>
      <w:r>
        <w:rPr>
          <w:color w:val="auto"/>
          <w:sz w:val="20"/>
          <w:szCs w:val="20"/>
        </w:rPr>
        <w:t>. Calendario de actividades Ex Ante</w:t>
      </w:r>
      <w:bookmarkEnd w:id="23"/>
      <w:r w:rsidR="00DF4A6F">
        <w:rPr>
          <w:color w:val="auto"/>
          <w:sz w:val="20"/>
          <w:szCs w:val="20"/>
        </w:rPr>
        <w:t xml:space="preserve"> 2008.</w:t>
      </w:r>
      <w:bookmarkEnd w:id="24"/>
    </w:p>
    <w:p w:rsidR="001C5ABF" w:rsidRDefault="00D73197" w:rsidP="00D73197">
      <w:pPr>
        <w:spacing w:after="0"/>
        <w:ind w:left="-709"/>
        <w:jc w:val="center"/>
        <w:rPr>
          <w:lang w:eastAsia="en-AU"/>
        </w:rPr>
      </w:pPr>
      <w:r w:rsidRPr="00D73197">
        <w:rPr>
          <w:noProof/>
          <w:lang w:eastAsia="es-MX"/>
        </w:rPr>
        <w:drawing>
          <wp:inline distT="0" distB="0" distL="0" distR="0">
            <wp:extent cx="6427338" cy="16478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5154" cy="1649829"/>
                    </a:xfrm>
                    <a:prstGeom prst="rect">
                      <a:avLst/>
                    </a:prstGeom>
                    <a:noFill/>
                    <a:ln>
                      <a:noFill/>
                    </a:ln>
                  </pic:spPr>
                </pic:pic>
              </a:graphicData>
            </a:graphic>
          </wp:inline>
        </w:drawing>
      </w:r>
    </w:p>
    <w:p w:rsidR="00DF4A6F" w:rsidRDefault="001C5ABF" w:rsidP="00D73197">
      <w:pPr>
        <w:jc w:val="center"/>
        <w:rPr>
          <w:sz w:val="18"/>
          <w:szCs w:val="18"/>
          <w:lang w:eastAsia="en-AU"/>
        </w:rPr>
      </w:pP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DF4A6F" w:rsidRPr="00DF4A6F" w:rsidRDefault="00DF4A6F" w:rsidP="00DF4A6F">
      <w:pPr>
        <w:pStyle w:val="Ttulo3"/>
        <w:ind w:left="-5"/>
        <w:jc w:val="center"/>
        <w:rPr>
          <w:color w:val="auto"/>
          <w:sz w:val="20"/>
          <w:szCs w:val="20"/>
        </w:rPr>
      </w:pPr>
      <w:bookmarkStart w:id="25" w:name="_Toc498519472"/>
      <w:r>
        <w:rPr>
          <w:color w:val="auto"/>
          <w:sz w:val="20"/>
          <w:szCs w:val="20"/>
        </w:rPr>
        <w:t>Tabla 6. Calendario de actividades Ex Ante 2009.</w:t>
      </w:r>
      <w:bookmarkEnd w:id="25"/>
    </w:p>
    <w:p w:rsidR="00DF4A6F" w:rsidRDefault="00D73197" w:rsidP="00D73197">
      <w:pPr>
        <w:spacing w:after="0"/>
        <w:ind w:left="-709"/>
        <w:rPr>
          <w:sz w:val="18"/>
          <w:szCs w:val="18"/>
          <w:lang w:eastAsia="en-AU"/>
        </w:rPr>
      </w:pPr>
      <w:r w:rsidRPr="00D73197">
        <w:rPr>
          <w:noProof/>
          <w:lang w:eastAsia="es-MX"/>
        </w:rPr>
        <w:drawing>
          <wp:inline distT="0" distB="0" distL="0" distR="0">
            <wp:extent cx="6390186" cy="1638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8311" cy="1640383"/>
                    </a:xfrm>
                    <a:prstGeom prst="rect">
                      <a:avLst/>
                    </a:prstGeom>
                    <a:noFill/>
                    <a:ln>
                      <a:noFill/>
                    </a:ln>
                  </pic:spPr>
                </pic:pic>
              </a:graphicData>
            </a:graphic>
          </wp:inline>
        </w:drawing>
      </w:r>
    </w:p>
    <w:p w:rsidR="00D73197" w:rsidRDefault="00DF4A6F" w:rsidP="00EF3EF2">
      <w:pPr>
        <w:jc w:val="center"/>
        <w:rPr>
          <w:sz w:val="18"/>
          <w:szCs w:val="18"/>
          <w:lang w:eastAsia="en-AU"/>
        </w:rPr>
      </w:pP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D73197" w:rsidRPr="003E5D6F" w:rsidRDefault="00D73197" w:rsidP="00D73197">
      <w:pPr>
        <w:pStyle w:val="Ttulo1"/>
        <w:numPr>
          <w:ilvl w:val="0"/>
          <w:numId w:val="6"/>
        </w:numPr>
        <w:ind w:right="-376" w:hanging="76"/>
        <w:rPr>
          <w:rFonts w:asciiTheme="minorHAnsi" w:hAnsiTheme="minorHAnsi"/>
          <w:sz w:val="24"/>
          <w:lang w:val="es-ES_tradnl"/>
        </w:rPr>
      </w:pPr>
      <w:bookmarkStart w:id="26" w:name="_Toc498519473"/>
      <w:r w:rsidRPr="003E5D6F">
        <w:rPr>
          <w:rFonts w:asciiTheme="minorHAnsi" w:hAnsiTheme="minorHAnsi"/>
          <w:sz w:val="24"/>
          <w:lang w:val="es-ES_tradnl"/>
        </w:rPr>
        <w:t>Fecha real de inicio de ejecución.</w:t>
      </w:r>
      <w:bookmarkEnd w:id="26"/>
    </w:p>
    <w:p w:rsidR="001C5ABF" w:rsidRDefault="00D73197" w:rsidP="005A3FA8">
      <w:pPr>
        <w:ind w:right="-234"/>
        <w:jc w:val="both"/>
        <w:rPr>
          <w:lang w:eastAsia="en-AU"/>
        </w:rPr>
      </w:pPr>
      <w:r>
        <w:rPr>
          <w:lang w:eastAsia="en-AU"/>
        </w:rPr>
        <w:t xml:space="preserve">La fecha real de ejecución fue el </w:t>
      </w:r>
      <w:r>
        <w:rPr>
          <w:rFonts w:eastAsia="Times New Roman" w:cs="Arial"/>
          <w:lang w:eastAsia="es-MX"/>
        </w:rPr>
        <w:t xml:space="preserve">10-Mayo-2010, no se toma en cuenta </w:t>
      </w:r>
      <w:r w:rsidR="00EF3EF2">
        <w:rPr>
          <w:rFonts w:eastAsia="Times New Roman" w:cs="Arial"/>
          <w:lang w:eastAsia="es-MX"/>
        </w:rPr>
        <w:t>la adquisición de materiales en 2008 pues ese se llevó a cabo con la clave 0709J3L0001 y en 2009 se ejecutaron los financiamientos estatales, por lo que la obra se realizó entre mayo de 2010 y diciembre de 2011;</w:t>
      </w:r>
      <w:r>
        <w:rPr>
          <w:rFonts w:eastAsia="Times New Roman" w:cs="Arial"/>
          <w:lang w:eastAsia="es-MX"/>
        </w:rPr>
        <w:t xml:space="preserve"> </w:t>
      </w:r>
      <w:r w:rsidR="00EF3EF2">
        <w:rPr>
          <w:lang w:eastAsia="en-AU"/>
        </w:rPr>
        <w:t>e</w:t>
      </w:r>
      <w:r w:rsidR="001C5ABF">
        <w:rPr>
          <w:lang w:eastAsia="en-AU"/>
        </w:rPr>
        <w:t>l calendario de inversión</w:t>
      </w:r>
      <w:r>
        <w:rPr>
          <w:lang w:eastAsia="en-AU"/>
        </w:rPr>
        <w:t xml:space="preserve"> real</w:t>
      </w:r>
      <w:r w:rsidR="001C5ABF">
        <w:rPr>
          <w:lang w:eastAsia="en-AU"/>
        </w:rPr>
        <w:t xml:space="preserve"> cómo se llevó a cabo en su ejecución se muestra a continuación:</w:t>
      </w:r>
    </w:p>
    <w:p w:rsidR="001C5ABF" w:rsidRDefault="001C5ABF" w:rsidP="001C5ABF">
      <w:pPr>
        <w:pStyle w:val="Ttulo3"/>
        <w:ind w:left="-5"/>
        <w:jc w:val="center"/>
        <w:rPr>
          <w:color w:val="auto"/>
          <w:sz w:val="20"/>
          <w:szCs w:val="20"/>
        </w:rPr>
      </w:pPr>
      <w:bookmarkStart w:id="27" w:name="_Toc454708666"/>
      <w:bookmarkStart w:id="28" w:name="_Toc498519474"/>
      <w:r>
        <w:rPr>
          <w:color w:val="auto"/>
          <w:sz w:val="20"/>
          <w:szCs w:val="20"/>
        </w:rPr>
        <w:t xml:space="preserve">Tabla7. </w:t>
      </w:r>
      <w:r w:rsidRPr="00D538BC">
        <w:rPr>
          <w:color w:val="auto"/>
          <w:sz w:val="20"/>
          <w:szCs w:val="20"/>
        </w:rPr>
        <w:t>Calendario de actividades Ex Post</w:t>
      </w:r>
      <w:bookmarkEnd w:id="27"/>
      <w:r w:rsidR="00D73197">
        <w:rPr>
          <w:color w:val="auto"/>
          <w:sz w:val="20"/>
          <w:szCs w:val="20"/>
        </w:rPr>
        <w:t xml:space="preserve"> 2008.</w:t>
      </w:r>
      <w:bookmarkEnd w:id="28"/>
    </w:p>
    <w:p w:rsidR="00D73197" w:rsidRPr="00D73197" w:rsidRDefault="00D73197" w:rsidP="00D73197">
      <w:pPr>
        <w:spacing w:after="0"/>
        <w:ind w:left="-567"/>
      </w:pPr>
      <w:r w:rsidRPr="00D73197">
        <w:rPr>
          <w:noProof/>
          <w:lang w:eastAsia="es-MX"/>
        </w:rPr>
        <w:drawing>
          <wp:inline distT="0" distB="0" distL="0" distR="0">
            <wp:extent cx="6282690" cy="1612798"/>
            <wp:effectExtent l="0" t="0" r="381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8506" cy="1619425"/>
                    </a:xfrm>
                    <a:prstGeom prst="rect">
                      <a:avLst/>
                    </a:prstGeom>
                    <a:noFill/>
                    <a:ln>
                      <a:noFill/>
                    </a:ln>
                  </pic:spPr>
                </pic:pic>
              </a:graphicData>
            </a:graphic>
          </wp:inline>
        </w:drawing>
      </w:r>
    </w:p>
    <w:p w:rsidR="001C5ABF" w:rsidRDefault="001C5ABF" w:rsidP="001C5ABF">
      <w:pPr>
        <w:rPr>
          <w:lang w:eastAsia="en-AU"/>
        </w:rPr>
      </w:pP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D73197" w:rsidRPr="00D538BC" w:rsidRDefault="00D73197" w:rsidP="00D73197">
      <w:pPr>
        <w:pStyle w:val="Ttulo3"/>
        <w:ind w:left="-5"/>
        <w:jc w:val="center"/>
        <w:rPr>
          <w:color w:val="auto"/>
          <w:sz w:val="20"/>
          <w:szCs w:val="20"/>
        </w:rPr>
      </w:pPr>
      <w:bookmarkStart w:id="29" w:name="_Toc498519475"/>
      <w:r>
        <w:rPr>
          <w:color w:val="auto"/>
          <w:sz w:val="20"/>
          <w:szCs w:val="20"/>
        </w:rPr>
        <w:lastRenderedPageBreak/>
        <w:t xml:space="preserve">Tabla 8. </w:t>
      </w:r>
      <w:r w:rsidRPr="00D538BC">
        <w:rPr>
          <w:color w:val="auto"/>
          <w:sz w:val="20"/>
          <w:szCs w:val="20"/>
        </w:rPr>
        <w:t>Calendario de actividades Ex Post</w:t>
      </w:r>
      <w:r>
        <w:rPr>
          <w:color w:val="auto"/>
          <w:sz w:val="20"/>
          <w:szCs w:val="20"/>
        </w:rPr>
        <w:t xml:space="preserve"> 2009.</w:t>
      </w:r>
      <w:bookmarkEnd w:id="29"/>
    </w:p>
    <w:p w:rsidR="00D73197" w:rsidRDefault="001700FE" w:rsidP="00D73197">
      <w:pPr>
        <w:spacing w:after="0"/>
        <w:ind w:left="-567"/>
        <w:rPr>
          <w:sz w:val="18"/>
          <w:szCs w:val="18"/>
          <w:lang w:eastAsia="en-AU"/>
        </w:rPr>
      </w:pPr>
      <w:r w:rsidRPr="001700FE">
        <w:drawing>
          <wp:inline distT="0" distB="0" distL="0" distR="0">
            <wp:extent cx="6233614" cy="1600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1083" cy="1602117"/>
                    </a:xfrm>
                    <a:prstGeom prst="rect">
                      <a:avLst/>
                    </a:prstGeom>
                    <a:noFill/>
                    <a:ln>
                      <a:noFill/>
                    </a:ln>
                  </pic:spPr>
                </pic:pic>
              </a:graphicData>
            </a:graphic>
          </wp:inline>
        </w:drawing>
      </w:r>
    </w:p>
    <w:p w:rsidR="00D73197" w:rsidRDefault="00D73197" w:rsidP="00D73197">
      <w:pPr>
        <w:rPr>
          <w:lang w:eastAsia="en-AU"/>
        </w:rPr>
      </w:pP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1C5ABF" w:rsidRDefault="001C5ABF" w:rsidP="001C5ABF">
      <w:pPr>
        <w:spacing w:after="0" w:line="240" w:lineRule="auto"/>
        <w:jc w:val="both"/>
        <w:rPr>
          <w:lang w:eastAsia="en-AU"/>
        </w:rPr>
      </w:pPr>
    </w:p>
    <w:p w:rsidR="00D73197" w:rsidRPr="00D538BC" w:rsidRDefault="00D73197" w:rsidP="00D73197">
      <w:pPr>
        <w:pStyle w:val="Ttulo3"/>
        <w:ind w:left="-5"/>
        <w:jc w:val="center"/>
        <w:rPr>
          <w:color w:val="auto"/>
          <w:sz w:val="20"/>
          <w:szCs w:val="20"/>
        </w:rPr>
      </w:pPr>
      <w:bookmarkStart w:id="30" w:name="_Toc498519476"/>
      <w:r>
        <w:rPr>
          <w:color w:val="auto"/>
          <w:sz w:val="20"/>
          <w:szCs w:val="20"/>
        </w:rPr>
        <w:t xml:space="preserve">Tabla 9. </w:t>
      </w:r>
      <w:r w:rsidRPr="00D538BC">
        <w:rPr>
          <w:color w:val="auto"/>
          <w:sz w:val="20"/>
          <w:szCs w:val="20"/>
        </w:rPr>
        <w:t>Calendario de actividades Ex Post</w:t>
      </w:r>
      <w:r>
        <w:rPr>
          <w:color w:val="auto"/>
          <w:sz w:val="20"/>
          <w:szCs w:val="20"/>
        </w:rPr>
        <w:t xml:space="preserve"> 2010.</w:t>
      </w:r>
      <w:bookmarkEnd w:id="30"/>
    </w:p>
    <w:p w:rsidR="00D73197" w:rsidRDefault="00D73197" w:rsidP="00D73197">
      <w:pPr>
        <w:ind w:left="-567"/>
        <w:rPr>
          <w:lang w:eastAsia="en-AU"/>
        </w:rPr>
      </w:pPr>
      <w:r w:rsidRPr="00D73197">
        <w:rPr>
          <w:noProof/>
          <w:lang w:eastAsia="es-MX"/>
        </w:rPr>
        <w:drawing>
          <wp:inline distT="0" distB="0" distL="0" distR="0">
            <wp:extent cx="6344928" cy="16287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56" cy="1630887"/>
                    </a:xfrm>
                    <a:prstGeom prst="rect">
                      <a:avLst/>
                    </a:prstGeom>
                    <a:noFill/>
                    <a:ln>
                      <a:noFill/>
                    </a:ln>
                  </pic:spPr>
                </pic:pic>
              </a:graphicData>
            </a:graphic>
          </wp:inline>
        </w:drawing>
      </w: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D73197" w:rsidRDefault="00D73197" w:rsidP="001C5ABF">
      <w:pPr>
        <w:spacing w:after="0" w:line="240" w:lineRule="auto"/>
        <w:jc w:val="both"/>
        <w:rPr>
          <w:lang w:eastAsia="en-AU"/>
        </w:rPr>
      </w:pPr>
    </w:p>
    <w:p w:rsidR="00D73197" w:rsidRPr="00D538BC" w:rsidRDefault="00D73197" w:rsidP="00D73197">
      <w:pPr>
        <w:pStyle w:val="Ttulo3"/>
        <w:ind w:left="-5"/>
        <w:jc w:val="center"/>
        <w:rPr>
          <w:color w:val="auto"/>
          <w:sz w:val="20"/>
          <w:szCs w:val="20"/>
        </w:rPr>
      </w:pPr>
      <w:bookmarkStart w:id="31" w:name="_Toc498519477"/>
      <w:r>
        <w:rPr>
          <w:color w:val="auto"/>
          <w:sz w:val="20"/>
          <w:szCs w:val="20"/>
        </w:rPr>
        <w:t xml:space="preserve">Tabla 10. </w:t>
      </w:r>
      <w:r w:rsidRPr="00D538BC">
        <w:rPr>
          <w:color w:val="auto"/>
          <w:sz w:val="20"/>
          <w:szCs w:val="20"/>
        </w:rPr>
        <w:t>Calendario de actividades Ex Post</w:t>
      </w:r>
      <w:r>
        <w:rPr>
          <w:color w:val="auto"/>
          <w:sz w:val="20"/>
          <w:szCs w:val="20"/>
        </w:rPr>
        <w:t xml:space="preserve"> 2011.</w:t>
      </w:r>
      <w:bookmarkEnd w:id="31"/>
    </w:p>
    <w:p w:rsidR="00D73197" w:rsidRDefault="00D73197" w:rsidP="00D73197">
      <w:pPr>
        <w:ind w:left="-567"/>
        <w:rPr>
          <w:sz w:val="18"/>
          <w:szCs w:val="18"/>
          <w:lang w:eastAsia="en-AU"/>
        </w:rPr>
      </w:pPr>
      <w:r w:rsidRPr="00D73197">
        <w:rPr>
          <w:noProof/>
          <w:lang w:eastAsia="es-MX"/>
        </w:rPr>
        <w:drawing>
          <wp:inline distT="0" distB="0" distL="0" distR="0">
            <wp:extent cx="6389454" cy="16402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5338" cy="1644283"/>
                    </a:xfrm>
                    <a:prstGeom prst="rect">
                      <a:avLst/>
                    </a:prstGeom>
                    <a:noFill/>
                    <a:ln>
                      <a:noFill/>
                    </a:ln>
                  </pic:spPr>
                </pic:pic>
              </a:graphicData>
            </a:graphic>
          </wp:inline>
        </w:drawing>
      </w:r>
      <w:r w:rsidRPr="00E018E4">
        <w:rPr>
          <w:sz w:val="18"/>
          <w:szCs w:val="18"/>
          <w:lang w:eastAsia="en-AU"/>
        </w:rPr>
        <w:t xml:space="preserve">Fuente: </w:t>
      </w:r>
      <w:r>
        <w:rPr>
          <w:sz w:val="18"/>
          <w:szCs w:val="18"/>
          <w:lang w:eastAsia="en-AU"/>
        </w:rPr>
        <w:t xml:space="preserve">Elaboración propia con datos de </w:t>
      </w:r>
      <w:r w:rsidRPr="00E018E4">
        <w:rPr>
          <w:sz w:val="18"/>
          <w:szCs w:val="18"/>
          <w:lang w:eastAsia="en-AU"/>
        </w:rPr>
        <w:t>Ferrocarril del Istmo de Tehuantepec, S.A. de C.V.</w:t>
      </w:r>
    </w:p>
    <w:p w:rsidR="00EF3EF2" w:rsidRDefault="00EF3EF2" w:rsidP="00D73197">
      <w:pPr>
        <w:ind w:left="-567"/>
        <w:rPr>
          <w:sz w:val="18"/>
          <w:szCs w:val="18"/>
          <w:lang w:eastAsia="en-AU"/>
        </w:rPr>
      </w:pPr>
    </w:p>
    <w:p w:rsidR="00EF3EF2" w:rsidRDefault="00EF3EF2" w:rsidP="00D73197">
      <w:pPr>
        <w:ind w:left="-567"/>
        <w:rPr>
          <w:sz w:val="18"/>
          <w:szCs w:val="18"/>
          <w:lang w:eastAsia="en-AU"/>
        </w:rPr>
      </w:pPr>
    </w:p>
    <w:p w:rsidR="00EF3EF2" w:rsidRDefault="00EF3EF2" w:rsidP="00D73197">
      <w:pPr>
        <w:ind w:left="-567"/>
        <w:rPr>
          <w:sz w:val="18"/>
          <w:szCs w:val="18"/>
          <w:lang w:eastAsia="en-AU"/>
        </w:rPr>
      </w:pPr>
    </w:p>
    <w:p w:rsidR="00EF3EF2" w:rsidRDefault="00EF3EF2" w:rsidP="00D73197">
      <w:pPr>
        <w:ind w:left="-567"/>
        <w:rPr>
          <w:sz w:val="18"/>
          <w:szCs w:val="18"/>
          <w:lang w:eastAsia="en-AU"/>
        </w:rPr>
      </w:pPr>
    </w:p>
    <w:p w:rsidR="00EF3EF2" w:rsidRDefault="00EF3EF2" w:rsidP="00D73197">
      <w:pPr>
        <w:ind w:left="-567"/>
        <w:rPr>
          <w:lang w:eastAsia="en-AU"/>
        </w:rPr>
      </w:pPr>
    </w:p>
    <w:p w:rsidR="00D73197" w:rsidRPr="003E5D6F" w:rsidRDefault="00EF3EF2" w:rsidP="00EF3EF2">
      <w:pPr>
        <w:pStyle w:val="Ttulo1"/>
        <w:numPr>
          <w:ilvl w:val="0"/>
          <w:numId w:val="6"/>
        </w:numPr>
        <w:ind w:right="-376" w:hanging="76"/>
        <w:rPr>
          <w:rFonts w:asciiTheme="minorHAnsi" w:hAnsiTheme="minorHAnsi"/>
          <w:sz w:val="24"/>
          <w:lang w:val="es-ES_tradnl"/>
        </w:rPr>
      </w:pPr>
      <w:bookmarkStart w:id="32" w:name="_Toc498519478"/>
      <w:r w:rsidRPr="003E5D6F">
        <w:rPr>
          <w:rFonts w:asciiTheme="minorHAnsi" w:hAnsiTheme="minorHAnsi"/>
          <w:sz w:val="24"/>
          <w:lang w:val="es-ES_tradnl"/>
        </w:rPr>
        <w:lastRenderedPageBreak/>
        <w:t>La justificación de la variación en el cumplimento de inicio de ejecución.</w:t>
      </w:r>
      <w:bookmarkEnd w:id="32"/>
    </w:p>
    <w:p w:rsidR="00EF3EF2" w:rsidRPr="00EF3EF2" w:rsidRDefault="00EF3EF2" w:rsidP="00EF3EF2">
      <w:pPr>
        <w:spacing w:after="0"/>
        <w:rPr>
          <w:lang w:eastAsia="en-AU"/>
        </w:rPr>
      </w:pPr>
      <w:r w:rsidRPr="00EF3EF2">
        <w:rPr>
          <w:lang w:eastAsia="en-AU"/>
        </w:rPr>
        <w:t>La VEMF es igual a 395 días, existe un retraso en el inicio de ejecución del proyecto.</w:t>
      </w:r>
    </w:p>
    <w:p w:rsidR="00EF3EF2" w:rsidRDefault="00EF3EF2" w:rsidP="00EF3EF2">
      <w:pPr>
        <w:spacing w:after="0" w:line="240" w:lineRule="auto"/>
        <w:jc w:val="both"/>
        <w:rPr>
          <w:b/>
          <w:sz w:val="24"/>
          <w:lang w:eastAsia="en-AU"/>
        </w:rPr>
      </w:pPr>
    </w:p>
    <w:p w:rsidR="00EF3EF2" w:rsidRDefault="00EF3EF2" w:rsidP="003E5D6F">
      <w:pPr>
        <w:spacing w:after="0" w:line="240" w:lineRule="auto"/>
        <w:ind w:right="-234"/>
        <w:jc w:val="both"/>
        <w:rPr>
          <w:lang w:eastAsia="en-AU"/>
        </w:rPr>
      </w:pPr>
      <w:r>
        <w:rPr>
          <w:lang w:eastAsia="en-AU"/>
        </w:rPr>
        <w:t xml:space="preserve">La variación se debe en primera instancia a que el oficio emitido por la DGPOP comunicando la clave y registro del proyecto se recibió el 6 de abril de 2005 y el oficio de liberación de inversión se formalizó el 7 de junio de 2005; y una vez con estos documentos se procedió a efectuar los trámites conforme a la normatividad vigente y aplicable para realizar las requisiciones y </w:t>
      </w:r>
      <w:r w:rsidRPr="009A0C44">
        <w:rPr>
          <w:lang w:eastAsia="en-AU"/>
        </w:rPr>
        <w:t xml:space="preserve">solicitar presupuesto para los trabajos al interior del FIT, a los tiempos reglamentarios que deben de transcurrir para convocar e iniciar los trabajos motivo del proyecto no obstante que se realizaron los “Dictámenes de reducción de Tiempo” para trabajar con los tiempos al mínimo permitido conforme a la LAOPSRM y acortar los periodos entre cada evento indicado por la propia Ley para las actividades correspondientes a la invitación a cuando menos tres personas y/o licitaciones públicas, las juntas de aclaraciones, aperturas de propuestas técnicas y económicas, revisión de propuestas y evento para dar a conocer el fallo, la firma del contrato y entrega de fianzas y finalmente el inicio de los trabajos. </w:t>
      </w:r>
      <w:bookmarkStart w:id="33" w:name="_Toc454708695"/>
    </w:p>
    <w:p w:rsidR="001C5ABF" w:rsidRPr="003E5D6F" w:rsidRDefault="001C5ABF" w:rsidP="00EF3EF2">
      <w:pPr>
        <w:pStyle w:val="Ttulo1"/>
        <w:numPr>
          <w:ilvl w:val="0"/>
          <w:numId w:val="6"/>
        </w:numPr>
        <w:ind w:right="-376" w:hanging="76"/>
        <w:rPr>
          <w:rFonts w:asciiTheme="minorHAnsi" w:hAnsiTheme="minorHAnsi"/>
          <w:sz w:val="24"/>
          <w:lang w:val="es-ES_tradnl"/>
        </w:rPr>
      </w:pPr>
      <w:bookmarkStart w:id="34" w:name="_Toc498519479"/>
      <w:r w:rsidRPr="003E5D6F">
        <w:rPr>
          <w:rFonts w:asciiTheme="minorHAnsi" w:hAnsiTheme="minorHAnsi"/>
          <w:sz w:val="24"/>
          <w:lang w:val="es-ES_tradnl"/>
        </w:rPr>
        <w:t>Variación porcentual en el cumplimiento de plazo de ejecución</w:t>
      </w:r>
      <w:bookmarkEnd w:id="33"/>
      <w:r w:rsidRPr="003E5D6F">
        <w:rPr>
          <w:rFonts w:asciiTheme="minorHAnsi" w:hAnsiTheme="minorHAnsi"/>
          <w:sz w:val="24"/>
          <w:lang w:val="es-ES_tradnl"/>
        </w:rPr>
        <w:t>.</w:t>
      </w:r>
      <w:bookmarkEnd w:id="34"/>
    </w:p>
    <w:p w:rsidR="001C5ABF" w:rsidRDefault="00EF3EF2" w:rsidP="005A3FA8">
      <w:pPr>
        <w:ind w:right="-234"/>
        <w:jc w:val="both"/>
        <w:rPr>
          <w:lang w:eastAsia="en-AU"/>
        </w:rPr>
      </w:pPr>
      <w:r>
        <w:rPr>
          <w:lang w:eastAsia="en-AU"/>
        </w:rPr>
        <w:t xml:space="preserve">De tablas 5 a la 10 se </w:t>
      </w:r>
      <w:r w:rsidR="001C5ABF">
        <w:rPr>
          <w:lang w:eastAsia="en-AU"/>
        </w:rPr>
        <w:t>muestra</w:t>
      </w:r>
      <w:r>
        <w:rPr>
          <w:lang w:eastAsia="en-AU"/>
        </w:rPr>
        <w:t>n los</w:t>
      </w:r>
      <w:r w:rsidR="001C5ABF">
        <w:rPr>
          <w:lang w:eastAsia="en-AU"/>
        </w:rPr>
        <w:t xml:space="preserve"> calendario</w:t>
      </w:r>
      <w:r>
        <w:rPr>
          <w:lang w:eastAsia="en-AU"/>
        </w:rPr>
        <w:t>s</w:t>
      </w:r>
      <w:r w:rsidR="001C5ABF">
        <w:rPr>
          <w:lang w:eastAsia="en-AU"/>
        </w:rPr>
        <w:t xml:space="preserve"> de actividades ex ante y ex post respectivamente, para calcular la variación porcentual en el cumplimiento de plazo de ejecución se utiliza la siguiente formula:</w:t>
      </w:r>
    </w:p>
    <w:p w:rsidR="001C5ABF" w:rsidRDefault="001C5ABF" w:rsidP="001C5ABF">
      <w:pPr>
        <w:jc w:val="center"/>
        <w:rPr>
          <w:lang w:eastAsia="en-AU"/>
        </w:rPr>
      </w:pPr>
      <w:r>
        <w:rPr>
          <w:noProof/>
          <w:lang w:eastAsia="es-MX"/>
        </w:rPr>
        <w:drawing>
          <wp:inline distT="0" distB="0" distL="0" distR="0" wp14:anchorId="03D0ADB6" wp14:editId="77A4C507">
            <wp:extent cx="1333500" cy="342900"/>
            <wp:effectExtent l="0" t="0" r="0" b="0"/>
            <wp:docPr id="6"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342900"/>
                    </a:xfrm>
                    <a:prstGeom prst="rect">
                      <a:avLst/>
                    </a:prstGeom>
                    <a:noFill/>
                    <a:ln>
                      <a:noFill/>
                    </a:ln>
                  </pic:spPr>
                </pic:pic>
              </a:graphicData>
            </a:graphic>
          </wp:inline>
        </w:drawing>
      </w:r>
    </w:p>
    <w:p w:rsidR="001C5ABF" w:rsidRDefault="001C5ABF" w:rsidP="001C5ABF">
      <w:pPr>
        <w:spacing w:after="0"/>
        <w:rPr>
          <w:lang w:eastAsia="en-AU"/>
        </w:rPr>
      </w:pPr>
      <w:r>
        <w:rPr>
          <w:lang w:eastAsia="en-AU"/>
        </w:rPr>
        <w:t>VCP = Variación de cumplimiento del plazo programado/planeado.</w:t>
      </w:r>
      <w:r>
        <w:rPr>
          <w:lang w:eastAsia="en-AU"/>
        </w:rPr>
        <w:tab/>
      </w:r>
      <w:r>
        <w:rPr>
          <w:lang w:eastAsia="en-AU"/>
        </w:rPr>
        <w:tab/>
      </w:r>
      <w:r>
        <w:rPr>
          <w:lang w:eastAsia="en-AU"/>
        </w:rPr>
        <w:tab/>
      </w:r>
      <w:r>
        <w:rPr>
          <w:lang w:eastAsia="en-AU"/>
        </w:rPr>
        <w:tab/>
      </w:r>
    </w:p>
    <w:p w:rsidR="001C5ABF" w:rsidRDefault="001C5ABF" w:rsidP="001C5ABF">
      <w:pPr>
        <w:spacing w:after="0"/>
        <w:rPr>
          <w:lang w:eastAsia="en-AU"/>
        </w:rPr>
      </w:pPr>
      <w:r>
        <w:rPr>
          <w:lang w:eastAsia="en-AU"/>
        </w:rPr>
        <w:t xml:space="preserve">PR = Plazo real, </w:t>
      </w:r>
      <w:r w:rsidR="00EF3EF2">
        <w:rPr>
          <w:lang w:eastAsia="en-AU"/>
        </w:rPr>
        <w:t>expresado en número de meses (20</w:t>
      </w:r>
      <w:r>
        <w:rPr>
          <w:lang w:eastAsia="en-AU"/>
        </w:rPr>
        <w:t xml:space="preserve"> meses).</w:t>
      </w:r>
      <w:r>
        <w:rPr>
          <w:lang w:eastAsia="en-AU"/>
        </w:rPr>
        <w:tab/>
      </w:r>
      <w:r>
        <w:rPr>
          <w:lang w:eastAsia="en-AU"/>
        </w:rPr>
        <w:tab/>
      </w:r>
      <w:r>
        <w:rPr>
          <w:lang w:eastAsia="en-AU"/>
        </w:rPr>
        <w:tab/>
      </w:r>
      <w:r>
        <w:rPr>
          <w:lang w:eastAsia="en-AU"/>
        </w:rPr>
        <w:tab/>
      </w:r>
    </w:p>
    <w:p w:rsidR="001C5ABF" w:rsidRDefault="001C5ABF" w:rsidP="001C5ABF">
      <w:pPr>
        <w:spacing w:after="0"/>
        <w:rPr>
          <w:lang w:eastAsia="en-AU"/>
        </w:rPr>
      </w:pPr>
      <w:r>
        <w:rPr>
          <w:lang w:eastAsia="en-AU"/>
        </w:rPr>
        <w:t>PP = Plazo programado/planeado, expr</w:t>
      </w:r>
      <w:r w:rsidR="00EF3EF2">
        <w:rPr>
          <w:lang w:eastAsia="en-AU"/>
        </w:rPr>
        <w:t>esado en número de meses (9</w:t>
      </w:r>
      <w:r>
        <w:rPr>
          <w:lang w:eastAsia="en-AU"/>
        </w:rPr>
        <w:t xml:space="preserve"> meses).</w:t>
      </w:r>
      <w:r>
        <w:rPr>
          <w:lang w:eastAsia="en-AU"/>
        </w:rPr>
        <w:tab/>
      </w:r>
      <w:r>
        <w:rPr>
          <w:lang w:eastAsia="en-AU"/>
        </w:rPr>
        <w:tab/>
      </w:r>
      <w:r>
        <w:rPr>
          <w:lang w:eastAsia="en-AU"/>
        </w:rPr>
        <w:tab/>
      </w:r>
    </w:p>
    <w:p w:rsidR="001C5ABF" w:rsidRDefault="001C5ABF" w:rsidP="001C5ABF">
      <w:pPr>
        <w:rPr>
          <w:lang w:eastAsia="en-AU"/>
        </w:rPr>
      </w:pPr>
    </w:p>
    <w:tbl>
      <w:tblPr>
        <w:tblW w:w="0" w:type="auto"/>
        <w:jc w:val="center"/>
        <w:tblCellMar>
          <w:left w:w="70" w:type="dxa"/>
          <w:right w:w="70" w:type="dxa"/>
        </w:tblCellMar>
        <w:tblLook w:val="04A0" w:firstRow="1" w:lastRow="0" w:firstColumn="1" w:lastColumn="0" w:noHBand="0" w:noVBand="1"/>
      </w:tblPr>
      <w:tblGrid>
        <w:gridCol w:w="606"/>
        <w:gridCol w:w="418"/>
        <w:gridCol w:w="318"/>
        <w:gridCol w:w="669"/>
        <w:gridCol w:w="363"/>
        <w:gridCol w:w="318"/>
        <w:gridCol w:w="669"/>
        <w:gridCol w:w="930"/>
        <w:gridCol w:w="669"/>
        <w:gridCol w:w="1086"/>
      </w:tblGrid>
      <w:tr w:rsidR="001C5ABF" w:rsidRPr="003A200A" w:rsidTr="004D2099">
        <w:trPr>
          <w:trHeight w:val="255"/>
          <w:jc w:val="center"/>
        </w:trPr>
        <w:tc>
          <w:tcPr>
            <w:tcW w:w="0" w:type="auto"/>
            <w:vMerge w:val="restart"/>
            <w:tcBorders>
              <w:top w:val="nil"/>
              <w:left w:val="nil"/>
              <w:bottom w:val="nil"/>
              <w:right w:val="nil"/>
            </w:tcBorders>
            <w:shd w:val="clear" w:color="000000" w:fill="FFFFFF"/>
            <w:noWrap/>
            <w:vAlign w:val="center"/>
            <w:hideMark/>
          </w:tcPr>
          <w:p w:rsidR="001C5ABF" w:rsidRPr="003A200A" w:rsidRDefault="001C5ABF" w:rsidP="004D2099">
            <w:pPr>
              <w:spacing w:after="0" w:line="240" w:lineRule="auto"/>
              <w:jc w:val="center"/>
              <w:rPr>
                <w:rFonts w:eastAsia="Times New Roman" w:cs="Arial"/>
                <w:lang w:eastAsia="es-MX"/>
              </w:rPr>
            </w:pPr>
            <w:r w:rsidRPr="003A200A">
              <w:rPr>
                <w:rFonts w:eastAsia="Times New Roman" w:cs="Arial"/>
                <w:lang w:eastAsia="en-AU"/>
              </w:rPr>
              <w:t>VCP=</w:t>
            </w:r>
          </w:p>
        </w:tc>
        <w:tc>
          <w:tcPr>
            <w:tcW w:w="0" w:type="auto"/>
            <w:tcBorders>
              <w:top w:val="nil"/>
              <w:left w:val="nil"/>
              <w:bottom w:val="single" w:sz="4" w:space="0" w:color="auto"/>
              <w:right w:val="nil"/>
            </w:tcBorders>
            <w:shd w:val="clear" w:color="000000" w:fill="FFFFFF"/>
            <w:noWrap/>
            <w:vAlign w:val="bottom"/>
            <w:hideMark/>
          </w:tcPr>
          <w:p w:rsidR="001C5ABF" w:rsidRPr="003A200A" w:rsidRDefault="001C5ABF" w:rsidP="004D2099">
            <w:pPr>
              <w:spacing w:after="0" w:line="240" w:lineRule="auto"/>
              <w:rPr>
                <w:rFonts w:ascii="Arial" w:eastAsia="Times New Roman" w:hAnsi="Arial" w:cs="Arial"/>
                <w:sz w:val="20"/>
                <w:szCs w:val="20"/>
                <w:lang w:eastAsia="es-MX"/>
              </w:rPr>
            </w:pPr>
            <w:r w:rsidRPr="003A200A">
              <w:rPr>
                <w:rFonts w:ascii="Arial" w:eastAsia="Times New Roman" w:hAnsi="Arial" w:cs="Arial"/>
                <w:sz w:val="20"/>
                <w:szCs w:val="20"/>
                <w:lang w:eastAsia="es-MX"/>
              </w:rPr>
              <w:t>PR</w:t>
            </w:r>
          </w:p>
        </w:tc>
        <w:tc>
          <w:tcPr>
            <w:tcW w:w="0" w:type="auto"/>
            <w:vMerge w:val="restart"/>
            <w:tcBorders>
              <w:top w:val="nil"/>
              <w:left w:val="nil"/>
              <w:bottom w:val="nil"/>
              <w:right w:val="nil"/>
            </w:tcBorders>
            <w:shd w:val="clear" w:color="000000" w:fill="FFFFFF"/>
            <w:noWrap/>
            <w:vAlign w:val="center"/>
            <w:hideMark/>
          </w:tcPr>
          <w:p w:rsidR="001C5ABF" w:rsidRPr="003A200A" w:rsidRDefault="001C5ABF" w:rsidP="004D2099">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 xml:space="preserve">-1 </w:t>
            </w:r>
          </w:p>
        </w:tc>
        <w:tc>
          <w:tcPr>
            <w:tcW w:w="0" w:type="auto"/>
            <w:vMerge w:val="restart"/>
            <w:tcBorders>
              <w:top w:val="nil"/>
              <w:left w:val="nil"/>
              <w:bottom w:val="nil"/>
              <w:right w:val="nil"/>
            </w:tcBorders>
            <w:shd w:val="clear" w:color="000000" w:fill="FFFFFF"/>
            <w:noWrap/>
            <w:vAlign w:val="center"/>
            <w:hideMark/>
          </w:tcPr>
          <w:p w:rsidR="001C5ABF" w:rsidRPr="003A200A" w:rsidRDefault="001C5ABF" w:rsidP="004D2099">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*100=</w:t>
            </w:r>
          </w:p>
        </w:tc>
        <w:tc>
          <w:tcPr>
            <w:tcW w:w="0" w:type="auto"/>
            <w:tcBorders>
              <w:top w:val="nil"/>
              <w:left w:val="nil"/>
              <w:bottom w:val="single" w:sz="4" w:space="0" w:color="auto"/>
              <w:right w:val="nil"/>
            </w:tcBorders>
            <w:shd w:val="clear" w:color="000000" w:fill="FFFFFF"/>
            <w:noWrap/>
            <w:vAlign w:val="bottom"/>
            <w:hideMark/>
          </w:tcPr>
          <w:p w:rsidR="001C5ABF" w:rsidRPr="003A200A" w:rsidRDefault="005A3FA8" w:rsidP="004D2099">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20</w:t>
            </w:r>
            <w:r w:rsidR="001C5ABF" w:rsidRPr="003A200A">
              <w:rPr>
                <w:rFonts w:ascii="Arial" w:eastAsia="Times New Roman" w:hAnsi="Arial" w:cs="Arial"/>
                <w:sz w:val="20"/>
                <w:szCs w:val="20"/>
                <w:lang w:eastAsia="es-MX"/>
              </w:rPr>
              <w:t xml:space="preserve"> </w:t>
            </w:r>
          </w:p>
        </w:tc>
        <w:tc>
          <w:tcPr>
            <w:tcW w:w="0" w:type="auto"/>
            <w:vMerge w:val="restart"/>
            <w:tcBorders>
              <w:top w:val="nil"/>
              <w:left w:val="nil"/>
              <w:bottom w:val="nil"/>
              <w:right w:val="nil"/>
            </w:tcBorders>
            <w:shd w:val="clear" w:color="000000" w:fill="FFFFFF"/>
            <w:noWrap/>
            <w:vAlign w:val="center"/>
            <w:hideMark/>
          </w:tcPr>
          <w:p w:rsidR="001C5ABF" w:rsidRPr="003A200A" w:rsidRDefault="001C5ABF" w:rsidP="004D2099">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 xml:space="preserve">-1 </w:t>
            </w:r>
          </w:p>
        </w:tc>
        <w:tc>
          <w:tcPr>
            <w:tcW w:w="0" w:type="auto"/>
            <w:vMerge w:val="restart"/>
            <w:tcBorders>
              <w:top w:val="nil"/>
              <w:left w:val="nil"/>
              <w:bottom w:val="nil"/>
              <w:right w:val="nil"/>
            </w:tcBorders>
            <w:shd w:val="clear" w:color="000000" w:fill="FFFFFF"/>
            <w:noWrap/>
            <w:vAlign w:val="center"/>
            <w:hideMark/>
          </w:tcPr>
          <w:p w:rsidR="001C5ABF" w:rsidRPr="003A200A" w:rsidRDefault="001C5ABF" w:rsidP="004D2099">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*100=</w:t>
            </w:r>
          </w:p>
        </w:tc>
        <w:tc>
          <w:tcPr>
            <w:tcW w:w="0" w:type="auto"/>
            <w:vMerge w:val="restart"/>
            <w:tcBorders>
              <w:top w:val="nil"/>
              <w:left w:val="nil"/>
              <w:bottom w:val="nil"/>
              <w:right w:val="nil"/>
            </w:tcBorders>
            <w:shd w:val="clear" w:color="000000" w:fill="FFFFFF"/>
            <w:noWrap/>
            <w:vAlign w:val="center"/>
            <w:hideMark/>
          </w:tcPr>
          <w:p w:rsidR="001C5ABF" w:rsidRPr="003A200A" w:rsidRDefault="005A3FA8" w:rsidP="004D2099">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2.2222</w:t>
            </w:r>
            <w:r w:rsidR="001C5ABF" w:rsidRPr="003A200A">
              <w:rPr>
                <w:rFonts w:ascii="Arial" w:eastAsia="Times New Roman" w:hAnsi="Arial" w:cs="Arial"/>
                <w:sz w:val="20"/>
                <w:szCs w:val="20"/>
                <w:lang w:eastAsia="es-MX"/>
              </w:rPr>
              <w:t>-1</w:t>
            </w:r>
          </w:p>
        </w:tc>
        <w:tc>
          <w:tcPr>
            <w:tcW w:w="0" w:type="auto"/>
            <w:vMerge w:val="restart"/>
            <w:tcBorders>
              <w:top w:val="nil"/>
              <w:left w:val="nil"/>
              <w:bottom w:val="nil"/>
              <w:right w:val="nil"/>
            </w:tcBorders>
            <w:shd w:val="clear" w:color="000000" w:fill="FFFFFF"/>
            <w:noWrap/>
            <w:vAlign w:val="center"/>
            <w:hideMark/>
          </w:tcPr>
          <w:p w:rsidR="001C5ABF" w:rsidRPr="003A200A" w:rsidRDefault="001C5ABF" w:rsidP="004D2099">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*100=</w:t>
            </w:r>
          </w:p>
        </w:tc>
        <w:tc>
          <w:tcPr>
            <w:tcW w:w="0" w:type="auto"/>
            <w:vMerge w:val="restart"/>
            <w:tcBorders>
              <w:top w:val="nil"/>
              <w:left w:val="nil"/>
              <w:bottom w:val="nil"/>
              <w:right w:val="nil"/>
            </w:tcBorders>
            <w:shd w:val="clear" w:color="000000" w:fill="FFFFFF"/>
            <w:noWrap/>
            <w:vAlign w:val="center"/>
            <w:hideMark/>
          </w:tcPr>
          <w:p w:rsidR="001C5ABF" w:rsidRPr="003A200A" w:rsidRDefault="005A3FA8" w:rsidP="004D2099">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2222.2222</w:t>
            </w:r>
            <w:r w:rsidR="001C5ABF" w:rsidRPr="003A200A">
              <w:rPr>
                <w:rFonts w:ascii="Arial" w:eastAsia="Times New Roman" w:hAnsi="Arial" w:cs="Arial"/>
                <w:sz w:val="20"/>
                <w:szCs w:val="20"/>
                <w:lang w:eastAsia="es-MX"/>
              </w:rPr>
              <w:t xml:space="preserve"> </w:t>
            </w:r>
          </w:p>
        </w:tc>
      </w:tr>
      <w:tr w:rsidR="001C5ABF" w:rsidRPr="003A200A" w:rsidTr="004D2099">
        <w:trPr>
          <w:trHeight w:val="255"/>
          <w:jc w:val="center"/>
        </w:trPr>
        <w:tc>
          <w:tcPr>
            <w:tcW w:w="0" w:type="auto"/>
            <w:vMerge/>
            <w:tcBorders>
              <w:top w:val="nil"/>
              <w:left w:val="nil"/>
              <w:bottom w:val="nil"/>
              <w:right w:val="nil"/>
            </w:tcBorders>
            <w:vAlign w:val="center"/>
            <w:hideMark/>
          </w:tcPr>
          <w:p w:rsidR="001C5ABF" w:rsidRPr="003A200A" w:rsidRDefault="001C5ABF" w:rsidP="004D2099">
            <w:pPr>
              <w:spacing w:after="0" w:line="240" w:lineRule="auto"/>
              <w:rPr>
                <w:rFonts w:eastAsia="Times New Roman" w:cs="Arial"/>
                <w:lang w:eastAsia="es-MX"/>
              </w:rPr>
            </w:pPr>
          </w:p>
        </w:tc>
        <w:tc>
          <w:tcPr>
            <w:tcW w:w="0" w:type="auto"/>
            <w:tcBorders>
              <w:top w:val="nil"/>
              <w:left w:val="nil"/>
              <w:bottom w:val="nil"/>
              <w:right w:val="nil"/>
            </w:tcBorders>
            <w:shd w:val="clear" w:color="000000" w:fill="FFFFFF"/>
            <w:noWrap/>
            <w:vAlign w:val="bottom"/>
            <w:hideMark/>
          </w:tcPr>
          <w:p w:rsidR="001C5ABF" w:rsidRPr="003A200A" w:rsidRDefault="001C5ABF" w:rsidP="004D2099">
            <w:pPr>
              <w:spacing w:after="0" w:line="240" w:lineRule="auto"/>
              <w:rPr>
                <w:rFonts w:ascii="Arial" w:eastAsia="Times New Roman" w:hAnsi="Arial" w:cs="Arial"/>
                <w:sz w:val="20"/>
                <w:szCs w:val="20"/>
                <w:lang w:eastAsia="es-MX"/>
              </w:rPr>
            </w:pPr>
            <w:r w:rsidRPr="003A200A">
              <w:rPr>
                <w:rFonts w:ascii="Arial" w:eastAsia="Times New Roman" w:hAnsi="Arial" w:cs="Arial"/>
                <w:sz w:val="20"/>
                <w:szCs w:val="20"/>
                <w:lang w:eastAsia="es-MX"/>
              </w:rPr>
              <w:t>PP</w:t>
            </w:r>
          </w:p>
        </w:tc>
        <w:tc>
          <w:tcPr>
            <w:tcW w:w="0" w:type="auto"/>
            <w:vMerge/>
            <w:tcBorders>
              <w:top w:val="nil"/>
              <w:left w:val="nil"/>
              <w:bottom w:val="nil"/>
              <w:right w:val="nil"/>
            </w:tcBorders>
            <w:vAlign w:val="center"/>
            <w:hideMark/>
          </w:tcPr>
          <w:p w:rsidR="001C5ABF" w:rsidRPr="003A200A"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3A200A" w:rsidRDefault="001C5ABF" w:rsidP="004D2099">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000000" w:fill="FFFFFF"/>
            <w:noWrap/>
            <w:vAlign w:val="bottom"/>
            <w:hideMark/>
          </w:tcPr>
          <w:p w:rsidR="001C5ABF" w:rsidRPr="003A200A" w:rsidRDefault="005A3FA8" w:rsidP="004D2099">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09</w:t>
            </w:r>
            <w:r w:rsidR="001C5ABF" w:rsidRPr="003A200A">
              <w:rPr>
                <w:rFonts w:ascii="Arial" w:eastAsia="Times New Roman" w:hAnsi="Arial" w:cs="Arial"/>
                <w:sz w:val="20"/>
                <w:szCs w:val="20"/>
                <w:lang w:eastAsia="es-MX"/>
              </w:rPr>
              <w:t xml:space="preserve"> </w:t>
            </w:r>
          </w:p>
        </w:tc>
        <w:tc>
          <w:tcPr>
            <w:tcW w:w="0" w:type="auto"/>
            <w:vMerge/>
            <w:tcBorders>
              <w:top w:val="nil"/>
              <w:left w:val="nil"/>
              <w:bottom w:val="nil"/>
              <w:right w:val="nil"/>
            </w:tcBorders>
            <w:vAlign w:val="center"/>
            <w:hideMark/>
          </w:tcPr>
          <w:p w:rsidR="001C5ABF" w:rsidRPr="003A200A"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3A200A"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3A200A"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3A200A" w:rsidRDefault="001C5ABF" w:rsidP="004D2099">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1C5ABF" w:rsidRPr="003A200A" w:rsidRDefault="001C5ABF" w:rsidP="004D2099">
            <w:pPr>
              <w:spacing w:after="0" w:line="240" w:lineRule="auto"/>
              <w:rPr>
                <w:rFonts w:ascii="Arial" w:eastAsia="Times New Roman" w:hAnsi="Arial" w:cs="Arial"/>
                <w:sz w:val="20"/>
                <w:szCs w:val="20"/>
                <w:lang w:eastAsia="es-MX"/>
              </w:rPr>
            </w:pPr>
          </w:p>
        </w:tc>
      </w:tr>
    </w:tbl>
    <w:p w:rsidR="001C5ABF" w:rsidRDefault="001C5ABF" w:rsidP="005A3FA8">
      <w:pPr>
        <w:ind w:right="-376"/>
        <w:jc w:val="both"/>
        <w:rPr>
          <w:lang w:eastAsia="en-AU"/>
        </w:rPr>
      </w:pPr>
      <w:r w:rsidRPr="003A200A">
        <w:rPr>
          <w:lang w:eastAsia="en-AU"/>
        </w:rPr>
        <w:t>En donde si el resultado es mayor a cero, existe un incremento del plazo de ejecución planeado; si es menor a cero, el periodo de ejecución del proyecto fue menor al planeado y; si es igual a cero, la planeación es adecuada. Los resultados distintos de cero, deberán justificarse.</w:t>
      </w:r>
    </w:p>
    <w:p w:rsidR="005A3FA8" w:rsidRPr="003E5D6F" w:rsidRDefault="001C5ABF" w:rsidP="003E5D6F">
      <w:pPr>
        <w:spacing w:after="0" w:line="240" w:lineRule="auto"/>
        <w:jc w:val="both"/>
        <w:rPr>
          <w:b/>
          <w:sz w:val="24"/>
          <w:lang w:eastAsia="en-AU"/>
        </w:rPr>
      </w:pPr>
      <w:r w:rsidRPr="003E5D6F">
        <w:rPr>
          <w:lang w:eastAsia="en-AU"/>
        </w:rPr>
        <w:t xml:space="preserve">La VCP es igual a </w:t>
      </w:r>
      <w:r w:rsidR="005A3FA8" w:rsidRPr="003E5D6F">
        <w:rPr>
          <w:lang w:eastAsia="en-AU"/>
        </w:rPr>
        <w:t>2222.2222</w:t>
      </w:r>
      <w:r w:rsidRPr="003E5D6F">
        <w:rPr>
          <w:lang w:eastAsia="en-AU"/>
        </w:rPr>
        <w:t xml:space="preserve">, el periodo de </w:t>
      </w:r>
      <w:r w:rsidR="005A3FA8" w:rsidRPr="003E5D6F">
        <w:rPr>
          <w:lang w:eastAsia="en-AU"/>
        </w:rPr>
        <w:t>ejecución del proyecto fue mayor</w:t>
      </w:r>
      <w:r w:rsidRPr="003E5D6F">
        <w:rPr>
          <w:lang w:eastAsia="en-AU"/>
        </w:rPr>
        <w:t xml:space="preserve"> al planeado.</w:t>
      </w:r>
    </w:p>
    <w:p w:rsidR="005A3FA8" w:rsidRPr="003E5D6F" w:rsidRDefault="00085FBF" w:rsidP="005A3FA8">
      <w:pPr>
        <w:pStyle w:val="Ttulo1"/>
        <w:numPr>
          <w:ilvl w:val="0"/>
          <w:numId w:val="6"/>
        </w:numPr>
        <w:ind w:right="-376" w:hanging="76"/>
        <w:rPr>
          <w:rFonts w:asciiTheme="minorHAnsi" w:hAnsiTheme="minorHAnsi"/>
          <w:sz w:val="24"/>
          <w:lang w:val="es-ES_tradnl"/>
        </w:rPr>
      </w:pPr>
      <w:bookmarkStart w:id="35" w:name="_Toc498519480"/>
      <w:r>
        <w:rPr>
          <w:rFonts w:asciiTheme="minorHAnsi" w:hAnsiTheme="minorHAnsi"/>
          <w:sz w:val="24"/>
          <w:lang w:val="es-ES_tradnl"/>
        </w:rPr>
        <w:t>Fecha final de ejecución p</w:t>
      </w:r>
      <w:r w:rsidR="005A3FA8" w:rsidRPr="003E5D6F">
        <w:rPr>
          <w:rFonts w:asciiTheme="minorHAnsi" w:hAnsiTheme="minorHAnsi"/>
          <w:sz w:val="24"/>
          <w:lang w:val="es-ES_tradnl"/>
        </w:rPr>
        <w:t>rogramada.</w:t>
      </w:r>
      <w:bookmarkEnd w:id="35"/>
    </w:p>
    <w:p w:rsidR="005A3FA8" w:rsidRDefault="005A3FA8" w:rsidP="005A3FA8">
      <w:pPr>
        <w:ind w:right="-518"/>
        <w:rPr>
          <w:lang w:val="es-ES_tradnl"/>
        </w:rPr>
      </w:pPr>
      <w:r>
        <w:rPr>
          <w:lang w:val="es-ES_tradnl"/>
        </w:rPr>
        <w:t>La fecha final de ejecución programada es 31 de Diciembre de 2009 como se muestra anteriormente en la tabla 6.</w:t>
      </w:r>
    </w:p>
    <w:p w:rsidR="005A3FA8" w:rsidRPr="003E5D6F" w:rsidRDefault="005A3FA8" w:rsidP="005A3FA8">
      <w:pPr>
        <w:pStyle w:val="Ttulo1"/>
        <w:numPr>
          <w:ilvl w:val="0"/>
          <w:numId w:val="6"/>
        </w:numPr>
        <w:ind w:right="-376" w:hanging="76"/>
        <w:rPr>
          <w:rFonts w:asciiTheme="minorHAnsi" w:hAnsiTheme="minorHAnsi"/>
          <w:sz w:val="24"/>
          <w:lang w:val="es-ES_tradnl"/>
        </w:rPr>
      </w:pPr>
      <w:bookmarkStart w:id="36" w:name="_Toc498519481"/>
      <w:r w:rsidRPr="003E5D6F">
        <w:rPr>
          <w:rFonts w:asciiTheme="minorHAnsi" w:hAnsiTheme="minorHAnsi"/>
          <w:sz w:val="24"/>
          <w:lang w:val="es-ES_tradnl"/>
        </w:rPr>
        <w:t>Fecha final de ejecución real.</w:t>
      </w:r>
      <w:bookmarkEnd w:id="36"/>
    </w:p>
    <w:p w:rsidR="001C5ABF" w:rsidRDefault="005A3FA8" w:rsidP="001C5ABF">
      <w:pPr>
        <w:rPr>
          <w:lang w:val="es-ES_tradnl"/>
        </w:rPr>
      </w:pPr>
      <w:r>
        <w:rPr>
          <w:lang w:val="es-ES_tradnl"/>
        </w:rPr>
        <w:t>La fecha de ejecución real es 31 de diciembre de 2011 como se muestra en la tabla 10.</w:t>
      </w:r>
    </w:p>
    <w:p w:rsidR="003E5D6F" w:rsidRDefault="003E5D6F" w:rsidP="001C5ABF">
      <w:pPr>
        <w:rPr>
          <w:lang w:val="es-ES_tradnl"/>
        </w:rPr>
      </w:pPr>
    </w:p>
    <w:p w:rsidR="003E5D6F" w:rsidRDefault="003E5D6F" w:rsidP="001C5ABF">
      <w:pPr>
        <w:rPr>
          <w:lang w:val="es-ES_tradnl"/>
        </w:rPr>
      </w:pPr>
    </w:p>
    <w:p w:rsidR="003E5D6F" w:rsidRPr="003E5D6F" w:rsidRDefault="003E5D6F" w:rsidP="003E5D6F">
      <w:pPr>
        <w:pStyle w:val="Ttulo1"/>
        <w:numPr>
          <w:ilvl w:val="0"/>
          <w:numId w:val="6"/>
        </w:numPr>
        <w:ind w:right="-376" w:hanging="76"/>
        <w:rPr>
          <w:rFonts w:asciiTheme="minorHAnsi" w:hAnsiTheme="minorHAnsi"/>
          <w:sz w:val="24"/>
          <w:lang w:val="es-ES_tradnl"/>
        </w:rPr>
      </w:pPr>
      <w:bookmarkStart w:id="37" w:name="_Toc498519482"/>
      <w:r w:rsidRPr="003E5D6F">
        <w:rPr>
          <w:rFonts w:asciiTheme="minorHAnsi" w:hAnsiTheme="minorHAnsi"/>
          <w:sz w:val="24"/>
          <w:lang w:val="es-ES_tradnl"/>
        </w:rPr>
        <w:lastRenderedPageBreak/>
        <w:t>La justificación de la variación porcentual en el cumplimiento del plazo de ejecución.</w:t>
      </w:r>
      <w:bookmarkEnd w:id="37"/>
    </w:p>
    <w:p w:rsidR="003E5D6F" w:rsidRPr="003E5D6F" w:rsidRDefault="003E5D6F" w:rsidP="003E5D6F">
      <w:pPr>
        <w:spacing w:after="0" w:line="240" w:lineRule="auto"/>
        <w:jc w:val="both"/>
        <w:rPr>
          <w:lang w:val="es-ES_tradnl"/>
        </w:rPr>
      </w:pPr>
      <w:r w:rsidRPr="003E5D6F">
        <w:rPr>
          <w:lang w:val="es-ES_tradnl"/>
        </w:rPr>
        <w:t>La VCP es igual a 2222.2222, el periodo de ejecución del proyecto fue mayor al planeado.</w:t>
      </w:r>
    </w:p>
    <w:p w:rsidR="003E5D6F" w:rsidRPr="003E5D6F" w:rsidRDefault="003E5D6F" w:rsidP="003E5D6F">
      <w:pPr>
        <w:pStyle w:val="Prrafodelista"/>
        <w:spacing w:after="0" w:line="240" w:lineRule="auto"/>
        <w:ind w:left="360"/>
        <w:jc w:val="both"/>
        <w:rPr>
          <w:lang w:val="es-ES_tradnl"/>
        </w:rPr>
      </w:pPr>
    </w:p>
    <w:p w:rsidR="003E5D6F" w:rsidRPr="003E5D6F" w:rsidRDefault="003E5D6F" w:rsidP="003E5D6F">
      <w:pPr>
        <w:ind w:right="-376"/>
        <w:jc w:val="both"/>
        <w:rPr>
          <w:lang w:eastAsia="en-AU"/>
        </w:rPr>
      </w:pPr>
      <w:r>
        <w:rPr>
          <w:lang w:eastAsia="en-AU"/>
        </w:rPr>
        <w:t>El menor tiempo en la ejecución de la obra se debe se optimizaron los tiempos en la construcción de las obras, haciendo una adecuada planeación de la integración de todos las obras a manera de que no se interfiriera unas con otras provocando retrasos; y para la liberación del derecho de vía factor clave del éxito de este proyectos se actuó conforme a la Ley Agraria sin provocar ninguna falta a esta ley, aun cuando intervino negativamente la APPO y la COCEI.</w:t>
      </w:r>
    </w:p>
    <w:p w:rsidR="001C5ABF" w:rsidRPr="003E5D6F" w:rsidRDefault="001C5ABF" w:rsidP="001C5ABF">
      <w:pPr>
        <w:pStyle w:val="Ttulo1"/>
        <w:numPr>
          <w:ilvl w:val="0"/>
          <w:numId w:val="6"/>
        </w:numPr>
        <w:ind w:right="-376" w:hanging="76"/>
        <w:rPr>
          <w:rFonts w:asciiTheme="minorHAnsi" w:hAnsiTheme="minorHAnsi"/>
          <w:sz w:val="24"/>
          <w:lang w:val="es-ES_tradnl"/>
        </w:rPr>
      </w:pPr>
      <w:bookmarkStart w:id="38" w:name="_Toc454708696"/>
      <w:bookmarkStart w:id="39" w:name="_Toc498519483"/>
      <w:r w:rsidRPr="003E5D6F">
        <w:rPr>
          <w:rFonts w:asciiTheme="minorHAnsi" w:hAnsiTheme="minorHAnsi"/>
          <w:sz w:val="24"/>
          <w:lang w:val="es-ES_tradnl"/>
        </w:rPr>
        <w:t>Variación porcentual en el cumplimiento de los costos de inversión</w:t>
      </w:r>
      <w:bookmarkEnd w:id="38"/>
      <w:r w:rsidRPr="003E5D6F">
        <w:rPr>
          <w:rFonts w:asciiTheme="minorHAnsi" w:hAnsiTheme="minorHAnsi"/>
          <w:sz w:val="24"/>
          <w:lang w:val="es-ES_tradnl"/>
        </w:rPr>
        <w:t>.</w:t>
      </w:r>
      <w:bookmarkEnd w:id="39"/>
    </w:p>
    <w:p w:rsidR="003E5D6F" w:rsidRDefault="003E5D6F" w:rsidP="003E5D6F">
      <w:pPr>
        <w:rPr>
          <w:lang w:eastAsia="en-AU"/>
        </w:rPr>
      </w:pPr>
      <w:r>
        <w:rPr>
          <w:lang w:eastAsia="en-AU"/>
        </w:rPr>
        <w:t>Para calcular la variación porcentual en el cumplimiento de los costos de inversión se utiliza la siguiente formula:</w:t>
      </w:r>
    </w:p>
    <w:p w:rsidR="003E5D6F" w:rsidRDefault="003E5D6F" w:rsidP="003E5D6F">
      <w:pPr>
        <w:ind w:left="3540"/>
        <w:rPr>
          <w:lang w:eastAsia="en-AU"/>
        </w:rPr>
      </w:pPr>
      <w:r>
        <w:rPr>
          <w:noProof/>
          <w:lang w:eastAsia="es-MX"/>
        </w:rPr>
        <w:drawing>
          <wp:inline distT="0" distB="0" distL="0" distR="0" wp14:anchorId="24B05984" wp14:editId="1C66F286">
            <wp:extent cx="1362075" cy="342900"/>
            <wp:effectExtent l="0" t="0" r="9525" b="0"/>
            <wp:docPr id="7"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342900"/>
                    </a:xfrm>
                    <a:prstGeom prst="rect">
                      <a:avLst/>
                    </a:prstGeom>
                    <a:noFill/>
                    <a:ln>
                      <a:noFill/>
                    </a:ln>
                  </pic:spPr>
                </pic:pic>
              </a:graphicData>
            </a:graphic>
          </wp:inline>
        </w:drawing>
      </w:r>
    </w:p>
    <w:p w:rsidR="003E5D6F" w:rsidRDefault="003E5D6F" w:rsidP="003E5D6F">
      <w:pPr>
        <w:spacing w:after="0"/>
        <w:rPr>
          <w:lang w:eastAsia="en-AU"/>
        </w:rPr>
      </w:pPr>
      <w:r>
        <w:rPr>
          <w:lang w:eastAsia="en-AU"/>
        </w:rPr>
        <w:t>VCC = Variación de cumplimiento del costo programado.</w:t>
      </w:r>
      <w:r>
        <w:rPr>
          <w:lang w:eastAsia="en-AU"/>
        </w:rPr>
        <w:tab/>
      </w:r>
      <w:r>
        <w:rPr>
          <w:lang w:eastAsia="en-AU"/>
        </w:rPr>
        <w:tab/>
      </w:r>
      <w:r>
        <w:rPr>
          <w:lang w:eastAsia="en-AU"/>
        </w:rPr>
        <w:tab/>
      </w:r>
      <w:r>
        <w:rPr>
          <w:lang w:eastAsia="en-AU"/>
        </w:rPr>
        <w:tab/>
      </w:r>
    </w:p>
    <w:p w:rsidR="003E5D6F" w:rsidRDefault="003E5D6F" w:rsidP="003E5D6F">
      <w:pPr>
        <w:spacing w:after="0"/>
        <w:rPr>
          <w:lang w:eastAsia="en-AU"/>
        </w:rPr>
      </w:pPr>
      <w:r>
        <w:rPr>
          <w:lang w:eastAsia="en-AU"/>
        </w:rPr>
        <w:t>ME = Mo</w:t>
      </w:r>
      <w:r w:rsidR="00634447">
        <w:rPr>
          <w:lang w:eastAsia="en-AU"/>
        </w:rPr>
        <w:t>nto de inversión erogado (318.4 a precios de 2017</w:t>
      </w:r>
      <w:r>
        <w:rPr>
          <w:lang w:eastAsia="en-AU"/>
        </w:rPr>
        <w:t>).</w:t>
      </w:r>
      <w:r>
        <w:rPr>
          <w:lang w:eastAsia="en-AU"/>
        </w:rPr>
        <w:tab/>
      </w:r>
      <w:r>
        <w:rPr>
          <w:lang w:eastAsia="en-AU"/>
        </w:rPr>
        <w:tab/>
      </w:r>
      <w:r>
        <w:rPr>
          <w:lang w:eastAsia="en-AU"/>
        </w:rPr>
        <w:tab/>
      </w:r>
      <w:r>
        <w:rPr>
          <w:lang w:eastAsia="en-AU"/>
        </w:rPr>
        <w:tab/>
      </w:r>
    </w:p>
    <w:p w:rsidR="003E5D6F" w:rsidRDefault="003E5D6F" w:rsidP="003E5D6F">
      <w:pPr>
        <w:spacing w:after="0"/>
        <w:rPr>
          <w:lang w:eastAsia="en-AU"/>
        </w:rPr>
      </w:pPr>
      <w:r>
        <w:rPr>
          <w:lang w:eastAsia="en-AU"/>
        </w:rPr>
        <w:t>MC = Monto de inversión programado/pla</w:t>
      </w:r>
      <w:r w:rsidR="00634447">
        <w:rPr>
          <w:lang w:eastAsia="en-AU"/>
        </w:rPr>
        <w:t>neado (380.3 a precios de 2017</w:t>
      </w:r>
      <w:r>
        <w:rPr>
          <w:lang w:eastAsia="en-AU"/>
        </w:rPr>
        <w:t>).</w:t>
      </w:r>
      <w:r>
        <w:rPr>
          <w:lang w:eastAsia="en-AU"/>
        </w:rPr>
        <w:tab/>
      </w:r>
      <w:r>
        <w:rPr>
          <w:lang w:eastAsia="en-AU"/>
        </w:rPr>
        <w:tab/>
      </w:r>
      <w:r>
        <w:rPr>
          <w:lang w:eastAsia="en-AU"/>
        </w:rPr>
        <w:tab/>
      </w:r>
      <w:r>
        <w:rPr>
          <w:lang w:eastAsia="en-AU"/>
        </w:rPr>
        <w:tab/>
      </w:r>
    </w:p>
    <w:tbl>
      <w:tblPr>
        <w:tblW w:w="0" w:type="auto"/>
        <w:jc w:val="center"/>
        <w:tblCellMar>
          <w:left w:w="70" w:type="dxa"/>
          <w:right w:w="70" w:type="dxa"/>
        </w:tblCellMar>
        <w:tblLook w:val="04A0" w:firstRow="1" w:lastRow="0" w:firstColumn="1" w:lastColumn="0" w:noHBand="0" w:noVBand="1"/>
      </w:tblPr>
      <w:tblGrid>
        <w:gridCol w:w="610"/>
        <w:gridCol w:w="452"/>
        <w:gridCol w:w="318"/>
        <w:gridCol w:w="669"/>
        <w:gridCol w:w="641"/>
        <w:gridCol w:w="318"/>
        <w:gridCol w:w="669"/>
        <w:gridCol w:w="1041"/>
        <w:gridCol w:w="724"/>
        <w:gridCol w:w="1458"/>
        <w:gridCol w:w="819"/>
      </w:tblGrid>
      <w:tr w:rsidR="003E5D6F" w:rsidRPr="003A200A" w:rsidTr="006467A4">
        <w:trPr>
          <w:trHeight w:val="255"/>
          <w:jc w:val="center"/>
        </w:trPr>
        <w:tc>
          <w:tcPr>
            <w:tcW w:w="0" w:type="auto"/>
            <w:vMerge w:val="restart"/>
            <w:tcBorders>
              <w:top w:val="nil"/>
              <w:left w:val="nil"/>
              <w:bottom w:val="nil"/>
              <w:right w:val="nil"/>
            </w:tcBorders>
            <w:shd w:val="clear" w:color="000000" w:fill="FFFFFF"/>
            <w:noWrap/>
            <w:vAlign w:val="center"/>
            <w:hideMark/>
          </w:tcPr>
          <w:p w:rsidR="003E5D6F" w:rsidRPr="003A200A" w:rsidRDefault="003E5D6F" w:rsidP="006467A4">
            <w:pPr>
              <w:spacing w:after="0" w:line="240" w:lineRule="auto"/>
              <w:jc w:val="center"/>
              <w:rPr>
                <w:rFonts w:eastAsia="Times New Roman" w:cs="Arial"/>
                <w:lang w:eastAsia="es-MX"/>
              </w:rPr>
            </w:pPr>
            <w:r w:rsidRPr="003A200A">
              <w:rPr>
                <w:rFonts w:eastAsia="Times New Roman" w:cs="Arial"/>
                <w:lang w:eastAsia="en-AU"/>
              </w:rPr>
              <w:t>VCC=</w:t>
            </w:r>
          </w:p>
        </w:tc>
        <w:tc>
          <w:tcPr>
            <w:tcW w:w="0" w:type="auto"/>
            <w:tcBorders>
              <w:top w:val="nil"/>
              <w:left w:val="nil"/>
              <w:bottom w:val="single" w:sz="4" w:space="0" w:color="auto"/>
              <w:right w:val="nil"/>
            </w:tcBorders>
            <w:shd w:val="clear" w:color="000000" w:fill="FFFFFF"/>
            <w:noWrap/>
            <w:vAlign w:val="bottom"/>
            <w:hideMark/>
          </w:tcPr>
          <w:p w:rsidR="003E5D6F" w:rsidRPr="003A200A" w:rsidRDefault="003E5D6F" w:rsidP="006467A4">
            <w:pPr>
              <w:spacing w:after="0" w:line="240" w:lineRule="auto"/>
              <w:rPr>
                <w:rFonts w:ascii="Arial" w:eastAsia="Times New Roman" w:hAnsi="Arial" w:cs="Arial"/>
                <w:sz w:val="20"/>
                <w:szCs w:val="20"/>
                <w:lang w:eastAsia="es-MX"/>
              </w:rPr>
            </w:pPr>
            <w:r w:rsidRPr="003A200A">
              <w:rPr>
                <w:rFonts w:ascii="Arial" w:eastAsia="Times New Roman" w:hAnsi="Arial" w:cs="Arial"/>
                <w:sz w:val="20"/>
                <w:szCs w:val="20"/>
                <w:lang w:eastAsia="es-MX"/>
              </w:rPr>
              <w:t>ME</w:t>
            </w:r>
          </w:p>
        </w:tc>
        <w:tc>
          <w:tcPr>
            <w:tcW w:w="0" w:type="auto"/>
            <w:vMerge w:val="restart"/>
            <w:tcBorders>
              <w:top w:val="nil"/>
              <w:left w:val="nil"/>
              <w:bottom w:val="nil"/>
              <w:right w:val="nil"/>
            </w:tcBorders>
            <w:shd w:val="clear" w:color="000000" w:fill="FFFFFF"/>
            <w:noWrap/>
            <w:vAlign w:val="center"/>
            <w:hideMark/>
          </w:tcPr>
          <w:p w:rsidR="003E5D6F" w:rsidRPr="003A200A" w:rsidRDefault="003E5D6F" w:rsidP="006467A4">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 xml:space="preserve">-1 </w:t>
            </w:r>
          </w:p>
        </w:tc>
        <w:tc>
          <w:tcPr>
            <w:tcW w:w="0" w:type="auto"/>
            <w:vMerge w:val="restart"/>
            <w:tcBorders>
              <w:top w:val="nil"/>
              <w:left w:val="nil"/>
              <w:bottom w:val="nil"/>
              <w:right w:val="nil"/>
            </w:tcBorders>
            <w:shd w:val="clear" w:color="000000" w:fill="FFFFFF"/>
            <w:noWrap/>
            <w:vAlign w:val="center"/>
            <w:hideMark/>
          </w:tcPr>
          <w:p w:rsidR="003E5D6F" w:rsidRPr="003A200A" w:rsidRDefault="003E5D6F" w:rsidP="006467A4">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*100=</w:t>
            </w:r>
          </w:p>
        </w:tc>
        <w:tc>
          <w:tcPr>
            <w:tcW w:w="0" w:type="auto"/>
            <w:tcBorders>
              <w:top w:val="nil"/>
              <w:left w:val="nil"/>
              <w:bottom w:val="single" w:sz="4" w:space="0" w:color="auto"/>
              <w:right w:val="nil"/>
            </w:tcBorders>
            <w:shd w:val="clear" w:color="000000" w:fill="FFFFFF"/>
            <w:noWrap/>
            <w:vAlign w:val="bottom"/>
            <w:hideMark/>
          </w:tcPr>
          <w:p w:rsidR="003E5D6F" w:rsidRPr="003A200A" w:rsidRDefault="00634447" w:rsidP="006467A4">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318.4</w:t>
            </w:r>
            <w:r w:rsidR="003E5D6F" w:rsidRPr="003A200A">
              <w:rPr>
                <w:rFonts w:ascii="Arial" w:eastAsia="Times New Roman" w:hAnsi="Arial" w:cs="Arial"/>
                <w:sz w:val="20"/>
                <w:szCs w:val="20"/>
                <w:lang w:eastAsia="es-MX"/>
              </w:rPr>
              <w:t xml:space="preserve"> </w:t>
            </w:r>
          </w:p>
        </w:tc>
        <w:tc>
          <w:tcPr>
            <w:tcW w:w="0" w:type="auto"/>
            <w:vMerge w:val="restart"/>
            <w:tcBorders>
              <w:top w:val="nil"/>
              <w:left w:val="nil"/>
              <w:bottom w:val="nil"/>
              <w:right w:val="nil"/>
            </w:tcBorders>
            <w:shd w:val="clear" w:color="000000" w:fill="FFFFFF"/>
            <w:noWrap/>
            <w:vAlign w:val="center"/>
            <w:hideMark/>
          </w:tcPr>
          <w:p w:rsidR="003E5D6F" w:rsidRPr="003A200A" w:rsidRDefault="003E5D6F" w:rsidP="006467A4">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 xml:space="preserve">-1 </w:t>
            </w:r>
          </w:p>
        </w:tc>
        <w:tc>
          <w:tcPr>
            <w:tcW w:w="0" w:type="auto"/>
            <w:vMerge w:val="restart"/>
            <w:tcBorders>
              <w:top w:val="nil"/>
              <w:left w:val="nil"/>
              <w:bottom w:val="nil"/>
              <w:right w:val="nil"/>
            </w:tcBorders>
            <w:shd w:val="clear" w:color="000000" w:fill="FFFFFF"/>
            <w:noWrap/>
            <w:vAlign w:val="center"/>
            <w:hideMark/>
          </w:tcPr>
          <w:p w:rsidR="003E5D6F" w:rsidRPr="003A200A" w:rsidRDefault="003E5D6F" w:rsidP="006467A4">
            <w:pPr>
              <w:spacing w:after="0" w:line="240" w:lineRule="auto"/>
              <w:jc w:val="center"/>
              <w:rPr>
                <w:rFonts w:ascii="Arial" w:eastAsia="Times New Roman" w:hAnsi="Arial" w:cs="Arial"/>
                <w:sz w:val="20"/>
                <w:szCs w:val="20"/>
                <w:lang w:eastAsia="es-MX"/>
              </w:rPr>
            </w:pPr>
            <w:r w:rsidRPr="003A200A">
              <w:rPr>
                <w:rFonts w:ascii="Arial" w:eastAsia="Times New Roman" w:hAnsi="Arial" w:cs="Arial"/>
                <w:sz w:val="20"/>
                <w:szCs w:val="20"/>
                <w:lang w:eastAsia="es-MX"/>
              </w:rPr>
              <w:t>*100=</w:t>
            </w:r>
          </w:p>
        </w:tc>
        <w:tc>
          <w:tcPr>
            <w:tcW w:w="0" w:type="auto"/>
            <w:vMerge w:val="restart"/>
            <w:tcBorders>
              <w:top w:val="nil"/>
              <w:left w:val="nil"/>
              <w:bottom w:val="nil"/>
              <w:right w:val="nil"/>
            </w:tcBorders>
            <w:shd w:val="clear" w:color="000000" w:fill="FFFFFF"/>
            <w:noWrap/>
            <w:vAlign w:val="center"/>
            <w:hideMark/>
          </w:tcPr>
          <w:p w:rsidR="003E5D6F" w:rsidRPr="003A200A" w:rsidRDefault="00634447" w:rsidP="006467A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0.8372 </w:t>
            </w:r>
            <w:r w:rsidR="003E5D6F" w:rsidRPr="003A200A">
              <w:rPr>
                <w:rFonts w:ascii="Arial" w:eastAsia="Times New Roman" w:hAnsi="Arial" w:cs="Arial"/>
                <w:sz w:val="20"/>
                <w:szCs w:val="20"/>
                <w:lang w:eastAsia="es-MX"/>
              </w:rPr>
              <w:t>-</w:t>
            </w:r>
            <w:r>
              <w:rPr>
                <w:rFonts w:ascii="Arial" w:eastAsia="Times New Roman" w:hAnsi="Arial" w:cs="Arial"/>
                <w:sz w:val="20"/>
                <w:szCs w:val="20"/>
                <w:lang w:eastAsia="es-MX"/>
              </w:rPr>
              <w:t xml:space="preserve"> </w:t>
            </w:r>
            <w:r w:rsidR="003E5D6F" w:rsidRPr="003A200A">
              <w:rPr>
                <w:rFonts w:ascii="Arial" w:eastAsia="Times New Roman" w:hAnsi="Arial" w:cs="Arial"/>
                <w:sz w:val="20"/>
                <w:szCs w:val="20"/>
                <w:lang w:eastAsia="es-MX"/>
              </w:rPr>
              <w:t>1</w:t>
            </w:r>
          </w:p>
        </w:tc>
        <w:tc>
          <w:tcPr>
            <w:tcW w:w="0" w:type="auto"/>
            <w:vMerge w:val="restart"/>
            <w:tcBorders>
              <w:top w:val="nil"/>
              <w:left w:val="nil"/>
              <w:bottom w:val="nil"/>
              <w:right w:val="nil"/>
            </w:tcBorders>
            <w:shd w:val="clear" w:color="000000" w:fill="FFFFFF"/>
            <w:noWrap/>
            <w:vAlign w:val="center"/>
            <w:hideMark/>
          </w:tcPr>
          <w:p w:rsidR="003E5D6F" w:rsidRPr="003A200A" w:rsidRDefault="003E5D6F" w:rsidP="00634447">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w:t>
            </w:r>
            <w:r w:rsidR="00634447">
              <w:rPr>
                <w:rFonts w:ascii="Arial" w:eastAsia="Times New Roman" w:hAnsi="Arial" w:cs="Arial"/>
                <w:sz w:val="20"/>
                <w:szCs w:val="20"/>
                <w:lang w:eastAsia="es-MX"/>
              </w:rPr>
              <w:t xml:space="preserve"> </w:t>
            </w:r>
            <w:r>
              <w:rPr>
                <w:rFonts w:ascii="Arial" w:eastAsia="Times New Roman" w:hAnsi="Arial" w:cs="Arial"/>
                <w:sz w:val="20"/>
                <w:szCs w:val="20"/>
                <w:lang w:eastAsia="es-MX"/>
              </w:rPr>
              <w:t>100=</w:t>
            </w:r>
          </w:p>
        </w:tc>
        <w:tc>
          <w:tcPr>
            <w:tcW w:w="0" w:type="auto"/>
            <w:vMerge w:val="restart"/>
            <w:tcBorders>
              <w:top w:val="nil"/>
              <w:left w:val="nil"/>
              <w:bottom w:val="nil"/>
              <w:right w:val="nil"/>
            </w:tcBorders>
            <w:shd w:val="clear" w:color="000000" w:fill="FFFFFF"/>
            <w:noWrap/>
            <w:vAlign w:val="center"/>
            <w:hideMark/>
          </w:tcPr>
          <w:p w:rsidR="003E5D6F" w:rsidRPr="003A200A" w:rsidRDefault="003E5D6F" w:rsidP="006467A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w:t>
            </w:r>
            <w:r w:rsidRPr="003A200A">
              <w:rPr>
                <w:rFonts w:ascii="Arial" w:eastAsia="Times New Roman" w:hAnsi="Arial" w:cs="Arial"/>
                <w:sz w:val="20"/>
                <w:szCs w:val="20"/>
                <w:lang w:eastAsia="es-MX"/>
              </w:rPr>
              <w:t>0.</w:t>
            </w:r>
            <w:r>
              <w:rPr>
                <w:rFonts w:ascii="Arial" w:eastAsia="Times New Roman" w:hAnsi="Arial" w:cs="Arial"/>
                <w:sz w:val="20"/>
                <w:szCs w:val="20"/>
                <w:lang w:eastAsia="es-MX"/>
              </w:rPr>
              <w:t>0169</w:t>
            </w:r>
            <w:r w:rsidR="00634447">
              <w:rPr>
                <w:rFonts w:ascii="Arial" w:eastAsia="Times New Roman" w:hAnsi="Arial" w:cs="Arial"/>
                <w:sz w:val="20"/>
                <w:szCs w:val="20"/>
                <w:lang w:eastAsia="es-MX"/>
              </w:rPr>
              <w:t xml:space="preserve"> </w:t>
            </w:r>
            <w:r w:rsidRPr="003A200A">
              <w:rPr>
                <w:rFonts w:ascii="Arial" w:eastAsia="Times New Roman" w:hAnsi="Arial" w:cs="Arial"/>
                <w:sz w:val="20"/>
                <w:szCs w:val="20"/>
                <w:lang w:eastAsia="es-MX"/>
              </w:rPr>
              <w:t>*</w:t>
            </w:r>
            <w:r w:rsidR="00634447">
              <w:rPr>
                <w:rFonts w:ascii="Arial" w:eastAsia="Times New Roman" w:hAnsi="Arial" w:cs="Arial"/>
                <w:sz w:val="20"/>
                <w:szCs w:val="20"/>
                <w:lang w:eastAsia="es-MX"/>
              </w:rPr>
              <w:t xml:space="preserve"> </w:t>
            </w:r>
            <w:r w:rsidRPr="003A200A">
              <w:rPr>
                <w:rFonts w:ascii="Arial" w:eastAsia="Times New Roman" w:hAnsi="Arial" w:cs="Arial"/>
                <w:sz w:val="20"/>
                <w:szCs w:val="20"/>
                <w:lang w:eastAsia="es-MX"/>
              </w:rPr>
              <w:t>100=</w:t>
            </w:r>
          </w:p>
        </w:tc>
        <w:tc>
          <w:tcPr>
            <w:tcW w:w="0" w:type="auto"/>
            <w:vMerge w:val="restart"/>
            <w:tcBorders>
              <w:top w:val="nil"/>
              <w:left w:val="nil"/>
              <w:bottom w:val="nil"/>
              <w:right w:val="nil"/>
            </w:tcBorders>
            <w:shd w:val="clear" w:color="000000" w:fill="FFFFFF"/>
            <w:noWrap/>
            <w:vAlign w:val="center"/>
            <w:hideMark/>
          </w:tcPr>
          <w:p w:rsidR="003E5D6F" w:rsidRPr="003A200A" w:rsidRDefault="00634447" w:rsidP="006467A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-1.1627</w:t>
            </w:r>
            <w:r w:rsidR="003E5D6F" w:rsidRPr="003A200A">
              <w:rPr>
                <w:rFonts w:ascii="Arial" w:eastAsia="Times New Roman" w:hAnsi="Arial" w:cs="Arial"/>
                <w:sz w:val="20"/>
                <w:szCs w:val="20"/>
                <w:lang w:eastAsia="es-MX"/>
              </w:rPr>
              <w:t xml:space="preserve"> </w:t>
            </w:r>
          </w:p>
        </w:tc>
      </w:tr>
      <w:tr w:rsidR="003E5D6F" w:rsidRPr="003A200A" w:rsidTr="006467A4">
        <w:trPr>
          <w:trHeight w:val="255"/>
          <w:jc w:val="center"/>
        </w:trPr>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eastAsia="Times New Roman" w:cs="Arial"/>
                <w:lang w:eastAsia="es-MX"/>
              </w:rPr>
            </w:pPr>
          </w:p>
        </w:tc>
        <w:tc>
          <w:tcPr>
            <w:tcW w:w="0" w:type="auto"/>
            <w:tcBorders>
              <w:top w:val="nil"/>
              <w:left w:val="nil"/>
              <w:bottom w:val="nil"/>
              <w:right w:val="nil"/>
            </w:tcBorders>
            <w:shd w:val="clear" w:color="000000" w:fill="FFFFFF"/>
            <w:noWrap/>
            <w:vAlign w:val="bottom"/>
            <w:hideMark/>
          </w:tcPr>
          <w:p w:rsidR="003E5D6F" w:rsidRPr="003A200A" w:rsidRDefault="003E5D6F" w:rsidP="006467A4">
            <w:pPr>
              <w:spacing w:after="0" w:line="240" w:lineRule="auto"/>
              <w:rPr>
                <w:rFonts w:ascii="Arial" w:eastAsia="Times New Roman" w:hAnsi="Arial" w:cs="Arial"/>
                <w:sz w:val="20"/>
                <w:szCs w:val="20"/>
                <w:lang w:eastAsia="es-MX"/>
              </w:rPr>
            </w:pPr>
            <w:r w:rsidRPr="003A200A">
              <w:rPr>
                <w:rFonts w:ascii="Arial" w:eastAsia="Times New Roman" w:hAnsi="Arial" w:cs="Arial"/>
                <w:sz w:val="20"/>
                <w:szCs w:val="20"/>
                <w:lang w:eastAsia="es-MX"/>
              </w:rPr>
              <w:t>MC</w:t>
            </w:r>
          </w:p>
        </w:tc>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000000" w:fill="FFFFFF"/>
            <w:noWrap/>
            <w:vAlign w:val="bottom"/>
            <w:hideMark/>
          </w:tcPr>
          <w:p w:rsidR="003E5D6F" w:rsidRPr="003A200A" w:rsidRDefault="00634447" w:rsidP="006467A4">
            <w:pPr>
              <w:spacing w:after="0" w:line="240" w:lineRule="auto"/>
              <w:jc w:val="right"/>
              <w:rPr>
                <w:rFonts w:ascii="Arial" w:eastAsia="Times New Roman" w:hAnsi="Arial" w:cs="Arial"/>
                <w:sz w:val="20"/>
                <w:szCs w:val="20"/>
                <w:lang w:eastAsia="es-MX"/>
              </w:rPr>
            </w:pPr>
            <w:r>
              <w:rPr>
                <w:rFonts w:ascii="Arial" w:eastAsia="Times New Roman" w:hAnsi="Arial" w:cs="Arial"/>
                <w:sz w:val="20"/>
                <w:szCs w:val="20"/>
                <w:lang w:eastAsia="es-MX"/>
              </w:rPr>
              <w:t>380.3</w:t>
            </w:r>
            <w:r w:rsidR="003E5D6F" w:rsidRPr="003A200A">
              <w:rPr>
                <w:rFonts w:ascii="Arial" w:eastAsia="Times New Roman" w:hAnsi="Arial" w:cs="Arial"/>
                <w:sz w:val="20"/>
                <w:szCs w:val="20"/>
                <w:lang w:eastAsia="es-MX"/>
              </w:rPr>
              <w:t xml:space="preserve"> </w:t>
            </w:r>
          </w:p>
        </w:tc>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ascii="Arial" w:eastAsia="Times New Roman" w:hAnsi="Arial" w:cs="Arial"/>
                <w:sz w:val="20"/>
                <w:szCs w:val="20"/>
                <w:lang w:eastAsia="es-MX"/>
              </w:rPr>
            </w:pPr>
          </w:p>
        </w:tc>
        <w:tc>
          <w:tcPr>
            <w:tcW w:w="0" w:type="auto"/>
            <w:vMerge/>
            <w:tcBorders>
              <w:top w:val="nil"/>
              <w:left w:val="nil"/>
              <w:bottom w:val="nil"/>
              <w:right w:val="nil"/>
            </w:tcBorders>
            <w:vAlign w:val="center"/>
            <w:hideMark/>
          </w:tcPr>
          <w:p w:rsidR="003E5D6F" w:rsidRPr="003A200A" w:rsidRDefault="003E5D6F" w:rsidP="006467A4">
            <w:pPr>
              <w:spacing w:after="0" w:line="240" w:lineRule="auto"/>
              <w:rPr>
                <w:rFonts w:ascii="Arial" w:eastAsia="Times New Roman" w:hAnsi="Arial" w:cs="Arial"/>
                <w:sz w:val="20"/>
                <w:szCs w:val="20"/>
                <w:lang w:eastAsia="es-MX"/>
              </w:rPr>
            </w:pPr>
          </w:p>
        </w:tc>
      </w:tr>
    </w:tbl>
    <w:p w:rsidR="003E5D6F" w:rsidRDefault="003E5D6F" w:rsidP="003E5D6F">
      <w:pPr>
        <w:jc w:val="both"/>
        <w:rPr>
          <w:lang w:eastAsia="en-AU"/>
        </w:rPr>
      </w:pPr>
      <w:r w:rsidRPr="008022F0">
        <w:rPr>
          <w:lang w:eastAsia="en-AU"/>
        </w:rPr>
        <w:t>En donde si el resultado es mayor a cero, denota un incremento del monto de inversión; si es menor a cero, el monto de inversión del proyecto fue menor al planeado y; si es igual a cero, la planeación es adecuada. Si la variación es distinta de cero, ésta deberá justificarse.</w:t>
      </w:r>
    </w:p>
    <w:p w:rsidR="003E5D6F" w:rsidRDefault="003E5D6F" w:rsidP="003E5D6F">
      <w:pPr>
        <w:spacing w:after="0"/>
        <w:rPr>
          <w:lang w:eastAsia="en-AU"/>
        </w:rPr>
      </w:pPr>
      <w:r w:rsidRPr="003E5D6F">
        <w:rPr>
          <w:lang w:eastAsia="en-AU"/>
        </w:rPr>
        <w:t>La VCC es igual a -1.</w:t>
      </w:r>
      <w:r w:rsidR="00634447">
        <w:rPr>
          <w:lang w:eastAsia="en-AU"/>
        </w:rPr>
        <w:t>1627</w:t>
      </w:r>
      <w:r w:rsidRPr="003E5D6F">
        <w:rPr>
          <w:lang w:eastAsia="en-AU"/>
        </w:rPr>
        <w:t>, el monto de inversión del proyecto fue menor al planeado.</w:t>
      </w: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Default="006467A4" w:rsidP="003E5D6F">
      <w:pPr>
        <w:spacing w:after="0"/>
        <w:rPr>
          <w:lang w:eastAsia="en-AU"/>
        </w:rPr>
      </w:pPr>
    </w:p>
    <w:p w:rsidR="006467A4" w:rsidRPr="003E5D6F" w:rsidRDefault="006467A4" w:rsidP="003E5D6F">
      <w:pPr>
        <w:spacing w:after="0"/>
        <w:rPr>
          <w:lang w:eastAsia="en-AU"/>
        </w:rPr>
      </w:pPr>
    </w:p>
    <w:p w:rsidR="003E5D6F" w:rsidRPr="003E5D6F" w:rsidRDefault="006467A4" w:rsidP="003E5D6F">
      <w:pPr>
        <w:pStyle w:val="Ttulo1"/>
        <w:numPr>
          <w:ilvl w:val="0"/>
          <w:numId w:val="6"/>
        </w:numPr>
        <w:ind w:right="-376" w:hanging="76"/>
        <w:rPr>
          <w:rFonts w:asciiTheme="minorHAnsi" w:hAnsiTheme="minorHAnsi"/>
          <w:sz w:val="24"/>
          <w:lang w:val="es-ES_tradnl"/>
        </w:rPr>
      </w:pPr>
      <w:bookmarkStart w:id="40" w:name="_Toc498519484"/>
      <w:r>
        <w:rPr>
          <w:rFonts w:asciiTheme="minorHAnsi" w:hAnsiTheme="minorHAnsi"/>
          <w:sz w:val="24"/>
          <w:lang w:val="es-ES_tradnl"/>
        </w:rPr>
        <w:lastRenderedPageBreak/>
        <w:t>M</w:t>
      </w:r>
      <w:r w:rsidR="003E5D6F" w:rsidRPr="003E5D6F">
        <w:rPr>
          <w:rFonts w:asciiTheme="minorHAnsi" w:hAnsiTheme="minorHAnsi"/>
          <w:sz w:val="24"/>
          <w:lang w:val="es-ES_tradnl"/>
        </w:rPr>
        <w:t xml:space="preserve">onto total de inversión </w:t>
      </w:r>
      <w:r>
        <w:rPr>
          <w:rFonts w:asciiTheme="minorHAnsi" w:hAnsiTheme="minorHAnsi"/>
          <w:sz w:val="24"/>
          <w:lang w:val="es-ES_tradnl"/>
        </w:rPr>
        <w:t xml:space="preserve">registrado </w:t>
      </w:r>
      <w:r w:rsidR="003E5D6F" w:rsidRPr="003E5D6F">
        <w:rPr>
          <w:rFonts w:asciiTheme="minorHAnsi" w:hAnsiTheme="minorHAnsi"/>
          <w:sz w:val="24"/>
          <w:lang w:val="es-ES_tradnl"/>
        </w:rPr>
        <w:t>en cartera.</w:t>
      </w:r>
      <w:bookmarkEnd w:id="40"/>
    </w:p>
    <w:p w:rsidR="006467A4" w:rsidRPr="00634447" w:rsidRDefault="006467A4" w:rsidP="006467A4">
      <w:pPr>
        <w:ind w:right="-376"/>
        <w:jc w:val="both"/>
        <w:rPr>
          <w:rFonts w:ascii="Calibri" w:eastAsia="Times New Roman" w:hAnsi="Calibri" w:cs="Calibri"/>
          <w:color w:val="000000"/>
          <w:lang w:eastAsia="es-MX"/>
        </w:rPr>
      </w:pPr>
      <w:r>
        <w:rPr>
          <w:lang w:eastAsia="en-AU"/>
        </w:rPr>
        <w:t xml:space="preserve">El monto total planeado para este proyecto fue de </w:t>
      </w:r>
      <w:r w:rsidRPr="006467A4">
        <w:rPr>
          <w:rFonts w:ascii="Calibri" w:eastAsia="Times New Roman" w:hAnsi="Calibri" w:cs="Calibri"/>
          <w:color w:val="000000"/>
          <w:lang w:eastAsia="es-MX"/>
        </w:rPr>
        <w:t xml:space="preserve"> $284, 815, 083.85 sin IVA, de los cuales</w:t>
      </w:r>
      <w:r w:rsidRPr="006467A4">
        <w:rPr>
          <w:rFonts w:ascii="Calibri" w:eastAsia="Times New Roman" w:hAnsi="Calibri" w:cs="Calibri"/>
          <w:color w:val="000000"/>
          <w:lang w:eastAsia="es-MX"/>
        </w:rPr>
        <w:br/>
        <w:t xml:space="preserve">$64, 381, 825.26 se ejercerían en 2008 con clave de registro 0709J3L0001 para la adquisición de materiales y proyecto ejecutivo; $205, 433, 258.58 se iban a aplicar en 2009 para la construcción y supervisión de la obra y el resto $15, 000, 000.00 serían para la liberación del derecho de vía, monto que sería cubierto por el </w:t>
      </w:r>
      <w:r w:rsidR="00634447">
        <w:rPr>
          <w:rFonts w:ascii="Calibri" w:eastAsia="Times New Roman" w:hAnsi="Calibri" w:cs="Calibri"/>
          <w:color w:val="000000"/>
          <w:lang w:eastAsia="es-MX"/>
        </w:rPr>
        <w:t>Gobierno del Estado de Chiapas.</w:t>
      </w:r>
    </w:p>
    <w:p w:rsidR="006467A4" w:rsidRDefault="006467A4" w:rsidP="006467A4">
      <w:pPr>
        <w:ind w:right="-376"/>
        <w:jc w:val="both"/>
        <w:rPr>
          <w:lang w:eastAsia="en-AU"/>
        </w:rPr>
      </w:pPr>
      <w:r>
        <w:rPr>
          <w:lang w:eastAsia="en-AU"/>
        </w:rPr>
        <w:t>Los costos ejercidos de inversión registrados en cartera se muestran en las siguientes tablas:</w:t>
      </w:r>
    </w:p>
    <w:p w:rsidR="006467A4" w:rsidRDefault="006467A4" w:rsidP="006467A4">
      <w:pPr>
        <w:pStyle w:val="Ttulo3"/>
        <w:ind w:left="-5"/>
        <w:jc w:val="center"/>
        <w:rPr>
          <w:color w:val="auto"/>
          <w:sz w:val="20"/>
          <w:szCs w:val="20"/>
        </w:rPr>
      </w:pPr>
      <w:bookmarkStart w:id="41" w:name="_Toc498519485"/>
      <w:r>
        <w:rPr>
          <w:color w:val="auto"/>
          <w:sz w:val="20"/>
          <w:szCs w:val="20"/>
        </w:rPr>
        <w:t>Tabla 11. Inversión Total Ex Ante (a precios de 2009</w:t>
      </w:r>
      <w:r w:rsidRPr="006467A4">
        <w:rPr>
          <w:color w:val="auto"/>
          <w:sz w:val="20"/>
          <w:szCs w:val="20"/>
        </w:rPr>
        <w:t>)</w:t>
      </w:r>
      <w:r>
        <w:rPr>
          <w:color w:val="auto"/>
          <w:sz w:val="20"/>
          <w:szCs w:val="20"/>
        </w:rPr>
        <w:t>.</w:t>
      </w:r>
      <w:bookmarkEnd w:id="41"/>
    </w:p>
    <w:tbl>
      <w:tblPr>
        <w:tblW w:w="0" w:type="auto"/>
        <w:jc w:val="center"/>
        <w:tblCellMar>
          <w:left w:w="70" w:type="dxa"/>
          <w:right w:w="70" w:type="dxa"/>
        </w:tblCellMar>
        <w:tblLook w:val="04A0" w:firstRow="1" w:lastRow="0" w:firstColumn="1" w:lastColumn="0" w:noHBand="0" w:noVBand="1"/>
      </w:tblPr>
      <w:tblGrid>
        <w:gridCol w:w="303"/>
        <w:gridCol w:w="3075"/>
        <w:gridCol w:w="1276"/>
        <w:gridCol w:w="1361"/>
      </w:tblGrid>
      <w:tr w:rsidR="006467A4" w:rsidRPr="006467A4" w:rsidTr="006467A4">
        <w:trPr>
          <w:trHeight w:val="227"/>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Inversión ex ante sin IVA (pesos 2009)</w:t>
            </w:r>
          </w:p>
        </w:tc>
      </w:tr>
      <w:tr w:rsidR="006467A4" w:rsidRPr="006467A4" w:rsidTr="006467A4">
        <w:trPr>
          <w:trHeight w:val="227"/>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CONCEPTO</w:t>
            </w:r>
          </w:p>
        </w:tc>
        <w:tc>
          <w:tcPr>
            <w:tcW w:w="0" w:type="auto"/>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2008</w:t>
            </w:r>
          </w:p>
        </w:tc>
        <w:tc>
          <w:tcPr>
            <w:tcW w:w="0" w:type="auto"/>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2009</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Proyecto Ejecutivo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5,931,325.22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Supervisión de Obra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5,000,000.00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Construcción de </w:t>
            </w:r>
            <w:r w:rsidR="00085FBF" w:rsidRPr="006467A4">
              <w:rPr>
                <w:rFonts w:ascii="Calibri" w:eastAsia="Times New Roman" w:hAnsi="Calibri" w:cs="Calibri"/>
                <w:color w:val="000000"/>
                <w:sz w:val="16"/>
                <w:szCs w:val="16"/>
                <w:lang w:eastAsia="es-MX"/>
              </w:rPr>
              <w:t>Terracerías</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59,794,891.59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Trazo y </w:t>
            </w:r>
            <w:r w:rsidR="00085FBF" w:rsidRPr="006467A4">
              <w:rPr>
                <w:rFonts w:ascii="Calibri" w:eastAsia="Times New Roman" w:hAnsi="Calibri" w:cs="Calibri"/>
                <w:color w:val="000000"/>
                <w:sz w:val="16"/>
                <w:szCs w:val="16"/>
                <w:lang w:eastAsia="es-MX"/>
              </w:rPr>
              <w:t>Nivelación</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1,556,100.00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Desmonte</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100,035.00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Despalme</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354,918.00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Excavación</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1,985,005.00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Compactación</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341,371.00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w:t>
            </w:r>
            <w:r w:rsidR="00085FBF" w:rsidRPr="006467A4">
              <w:rPr>
                <w:rFonts w:ascii="Calibri" w:eastAsia="Times New Roman" w:hAnsi="Calibri" w:cs="Calibri"/>
                <w:color w:val="000000"/>
                <w:sz w:val="16"/>
                <w:szCs w:val="16"/>
                <w:lang w:eastAsia="es-MX"/>
              </w:rPr>
              <w:t>Terraplén</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2,295,183.59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w:t>
            </w:r>
            <w:proofErr w:type="spellStart"/>
            <w:r w:rsidRPr="006467A4">
              <w:rPr>
                <w:rFonts w:ascii="Calibri" w:eastAsia="Times New Roman" w:hAnsi="Calibri" w:cs="Calibri"/>
                <w:color w:val="000000"/>
                <w:sz w:val="16"/>
                <w:szCs w:val="16"/>
                <w:lang w:eastAsia="es-MX"/>
              </w:rPr>
              <w:t>Subalasto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3,178,854.00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Acarreos</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49,983,425.00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Construcción del Puente </w:t>
            </w:r>
            <w:proofErr w:type="spellStart"/>
            <w:r w:rsidRPr="006467A4">
              <w:rPr>
                <w:rFonts w:ascii="Calibri" w:eastAsia="Times New Roman" w:hAnsi="Calibri" w:cs="Calibri"/>
                <w:color w:val="000000"/>
                <w:sz w:val="16"/>
                <w:szCs w:val="16"/>
                <w:lang w:eastAsia="es-MX"/>
              </w:rPr>
              <w:t>Coatan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70,450,000.00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del Puente Hidalgo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5,000,000.00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 un Paso Superior Ferroviario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16,000,000.00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del Puente Río Florido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6,000,000.00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Armado de vía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11,100,000.00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9</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Línea y Nivel</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390,000.00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Alcantarillado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12,500,000.00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Adquisición de Balasto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6,100,000.00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Obra inducida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11,139,103.19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Transporte de 20,000 </w:t>
            </w:r>
            <w:proofErr w:type="spellStart"/>
            <w:r w:rsidRPr="006467A4">
              <w:rPr>
                <w:rFonts w:ascii="Calibri" w:eastAsia="Times New Roman" w:hAnsi="Calibri" w:cs="Calibri"/>
                <w:color w:val="000000"/>
                <w:sz w:val="16"/>
                <w:szCs w:val="16"/>
                <w:lang w:eastAsia="es-MX"/>
              </w:rPr>
              <w:t>Dtes</w:t>
            </w:r>
            <w:proofErr w:type="spellEnd"/>
            <w:r w:rsidRPr="006467A4">
              <w:rPr>
                <w:rFonts w:ascii="Calibri" w:eastAsia="Times New Roman" w:hAnsi="Calibri" w:cs="Calibri"/>
                <w:color w:val="000000"/>
                <w:sz w:val="16"/>
                <w:szCs w:val="16"/>
                <w:lang w:eastAsia="es-MX"/>
              </w:rPr>
              <w:t xml:space="preserve">. </w:t>
            </w:r>
            <w:proofErr w:type="spellStart"/>
            <w:r w:rsidRPr="006467A4">
              <w:rPr>
                <w:rFonts w:ascii="Calibri" w:eastAsia="Times New Roman" w:hAnsi="Calibri" w:cs="Calibri"/>
                <w:color w:val="000000"/>
                <w:sz w:val="16"/>
                <w:szCs w:val="16"/>
                <w:lang w:eastAsia="es-MX"/>
              </w:rPr>
              <w:t>Cto</w:t>
            </w:r>
            <w:proofErr w:type="spellEnd"/>
            <w:r w:rsidRPr="006467A4">
              <w:rPr>
                <w:rFonts w:ascii="Calibri" w:eastAsia="Times New Roman" w:hAnsi="Calibri" w:cs="Calibri"/>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3,685,000.00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Sondeos p/Mecánica de Suelos</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146,000.00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Durmiente de Concreto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13,174,000.00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Grapa, Perno y Clavo de Vía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4,257,407.83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Cojinetes y Placa de Hule</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432,000.00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Placa de asiento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897,600.00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Herraje Nº 10</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239,904.00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Madera para Puente (</w:t>
            </w:r>
            <w:proofErr w:type="spellStart"/>
            <w:r w:rsidRPr="006467A4">
              <w:rPr>
                <w:rFonts w:ascii="Calibri" w:eastAsia="Times New Roman" w:hAnsi="Calibri" w:cs="Calibri"/>
                <w:color w:val="000000"/>
                <w:sz w:val="16"/>
                <w:szCs w:val="16"/>
                <w:lang w:eastAsia="es-MX"/>
              </w:rPr>
              <w:t>Dtes</w:t>
            </w:r>
            <w:proofErr w:type="spellEnd"/>
            <w:r w:rsidRPr="006467A4">
              <w:rPr>
                <w:rFonts w:ascii="Calibri" w:eastAsia="Times New Roman" w:hAnsi="Calibri" w:cs="Calibri"/>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2,974,377.00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21</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Riel</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32,644,211.22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Subtotal</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64,381,825.26 </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203,473,994.78 </w:t>
            </w:r>
          </w:p>
        </w:tc>
      </w:tr>
      <w:tr w:rsidR="006467A4" w:rsidRPr="006467A4" w:rsidTr="006467A4">
        <w:trPr>
          <w:trHeight w:val="227"/>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Suma Subtotales</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267,855,820.05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Liberación del derecho de vía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15,000,000.00 </w:t>
            </w:r>
          </w:p>
        </w:tc>
      </w:tr>
      <w:tr w:rsidR="006467A4" w:rsidRPr="006467A4" w:rsidTr="006467A4">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Levantamiento de vías</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1,959,263.80 </w:t>
            </w:r>
          </w:p>
        </w:tc>
      </w:tr>
      <w:tr w:rsidR="006467A4" w:rsidRPr="006467A4" w:rsidTr="006467A4">
        <w:trPr>
          <w:trHeight w:val="227"/>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Inversión Total</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284,815,083.85 </w:t>
            </w:r>
          </w:p>
        </w:tc>
      </w:tr>
    </w:tbl>
    <w:p w:rsidR="006467A4" w:rsidRDefault="006467A4" w:rsidP="006467A4">
      <w:pPr>
        <w:ind w:right="-376"/>
        <w:jc w:val="center"/>
        <w:rPr>
          <w:sz w:val="18"/>
          <w:szCs w:val="18"/>
          <w:lang w:eastAsia="en-AU"/>
        </w:rPr>
      </w:pPr>
      <w:r w:rsidRPr="006467A4">
        <w:rPr>
          <w:sz w:val="18"/>
          <w:szCs w:val="18"/>
          <w:lang w:eastAsia="en-AU"/>
        </w:rPr>
        <w:t>Fuente: Elaboración propia con datos de Ferrocarril del Istmo de Tehuantepec, S.A. de C.V.</w:t>
      </w:r>
      <w:r>
        <w:rPr>
          <w:sz w:val="18"/>
          <w:szCs w:val="18"/>
          <w:lang w:eastAsia="en-AU"/>
        </w:rPr>
        <w:br/>
      </w:r>
    </w:p>
    <w:p w:rsidR="006467A4" w:rsidRDefault="006467A4" w:rsidP="006467A4">
      <w:pPr>
        <w:ind w:right="-376"/>
        <w:jc w:val="center"/>
        <w:rPr>
          <w:sz w:val="18"/>
          <w:szCs w:val="18"/>
          <w:lang w:eastAsia="en-AU"/>
        </w:rPr>
      </w:pPr>
    </w:p>
    <w:p w:rsidR="006467A4" w:rsidRDefault="006467A4" w:rsidP="006467A4">
      <w:pPr>
        <w:ind w:right="-376"/>
        <w:jc w:val="center"/>
        <w:rPr>
          <w:sz w:val="18"/>
          <w:szCs w:val="18"/>
          <w:lang w:eastAsia="en-AU"/>
        </w:rPr>
      </w:pPr>
    </w:p>
    <w:p w:rsidR="006467A4" w:rsidRPr="006467A4" w:rsidRDefault="006467A4" w:rsidP="00634447">
      <w:pPr>
        <w:ind w:right="-376"/>
        <w:rPr>
          <w:sz w:val="18"/>
          <w:szCs w:val="18"/>
          <w:lang w:eastAsia="en-AU"/>
        </w:rPr>
      </w:pPr>
    </w:p>
    <w:p w:rsidR="006467A4" w:rsidRDefault="006467A4" w:rsidP="006467A4">
      <w:pPr>
        <w:pStyle w:val="Ttulo3"/>
        <w:ind w:left="-5"/>
        <w:jc w:val="center"/>
        <w:rPr>
          <w:color w:val="auto"/>
          <w:sz w:val="20"/>
          <w:szCs w:val="20"/>
        </w:rPr>
      </w:pPr>
      <w:bookmarkStart w:id="42" w:name="_Toc498519486"/>
      <w:r>
        <w:rPr>
          <w:color w:val="auto"/>
          <w:sz w:val="20"/>
          <w:szCs w:val="20"/>
        </w:rPr>
        <w:lastRenderedPageBreak/>
        <w:t>Tabla 12. Inversión Total Ex Ante (a precios de 2017</w:t>
      </w:r>
      <w:r w:rsidRPr="006467A4">
        <w:rPr>
          <w:color w:val="auto"/>
          <w:sz w:val="20"/>
          <w:szCs w:val="20"/>
        </w:rPr>
        <w:t>)</w:t>
      </w:r>
      <w:r>
        <w:rPr>
          <w:color w:val="auto"/>
          <w:sz w:val="20"/>
          <w:szCs w:val="20"/>
        </w:rPr>
        <w:t>.</w:t>
      </w:r>
      <w:bookmarkEnd w:id="42"/>
    </w:p>
    <w:tbl>
      <w:tblPr>
        <w:tblW w:w="0" w:type="auto"/>
        <w:jc w:val="center"/>
        <w:tblCellMar>
          <w:left w:w="70" w:type="dxa"/>
          <w:right w:w="70" w:type="dxa"/>
        </w:tblCellMar>
        <w:tblLook w:val="04A0" w:firstRow="1" w:lastRow="0" w:firstColumn="1" w:lastColumn="0" w:noHBand="0" w:noVBand="1"/>
      </w:tblPr>
      <w:tblGrid>
        <w:gridCol w:w="303"/>
        <w:gridCol w:w="3075"/>
        <w:gridCol w:w="1276"/>
        <w:gridCol w:w="1361"/>
      </w:tblGrid>
      <w:tr w:rsidR="006467A4" w:rsidRPr="006467A4" w:rsidTr="006467A4">
        <w:trPr>
          <w:trHeight w:val="170"/>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Inversión ex ante sin IVA (pesos 2017)</w:t>
            </w:r>
          </w:p>
        </w:tc>
      </w:tr>
      <w:tr w:rsidR="006467A4" w:rsidRPr="006467A4" w:rsidTr="006467A4">
        <w:trPr>
          <w:trHeight w:val="17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CONCEPTO</w:t>
            </w:r>
          </w:p>
        </w:tc>
        <w:tc>
          <w:tcPr>
            <w:tcW w:w="0" w:type="auto"/>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2008</w:t>
            </w:r>
          </w:p>
        </w:tc>
        <w:tc>
          <w:tcPr>
            <w:tcW w:w="0" w:type="auto"/>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2009</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Proyecto Ejecutivo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7,920,959.00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Supervisión de Obra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6,677,225.33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Construcción de </w:t>
            </w:r>
            <w:r w:rsidR="00085FBF" w:rsidRPr="006467A4">
              <w:rPr>
                <w:rFonts w:ascii="Calibri" w:eastAsia="Times New Roman" w:hAnsi="Calibri" w:cs="Calibri"/>
                <w:color w:val="000000"/>
                <w:sz w:val="16"/>
                <w:szCs w:val="16"/>
                <w:lang w:eastAsia="es-MX"/>
              </w:rPr>
              <w:t>Terracerías</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79,852,792.99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Trazo y </w:t>
            </w:r>
            <w:r w:rsidR="00085FBF" w:rsidRPr="006467A4">
              <w:rPr>
                <w:rFonts w:ascii="Calibri" w:eastAsia="Times New Roman" w:hAnsi="Calibri" w:cs="Calibri"/>
                <w:color w:val="000000"/>
                <w:sz w:val="16"/>
                <w:szCs w:val="16"/>
                <w:lang w:eastAsia="es-MX"/>
              </w:rPr>
              <w:t>Nivelación</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2,078,086.07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Desmonte</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133,591.25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Despalme</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473,973.49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Excavación</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2,650,865.13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Compactación</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455,882.22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w:t>
            </w:r>
            <w:r w:rsidR="00085FBF" w:rsidRPr="006467A4">
              <w:rPr>
                <w:rFonts w:ascii="Calibri" w:eastAsia="Times New Roman" w:hAnsi="Calibri" w:cs="Calibri"/>
                <w:color w:val="000000"/>
                <w:sz w:val="16"/>
                <w:szCs w:val="16"/>
                <w:lang w:eastAsia="es-MX"/>
              </w:rPr>
              <w:t>Terraplén</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3,065,091.60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w:t>
            </w:r>
            <w:proofErr w:type="spellStart"/>
            <w:r w:rsidRPr="006467A4">
              <w:rPr>
                <w:rFonts w:ascii="Calibri" w:eastAsia="Times New Roman" w:hAnsi="Calibri" w:cs="Calibri"/>
                <w:color w:val="000000"/>
                <w:sz w:val="16"/>
                <w:szCs w:val="16"/>
                <w:lang w:eastAsia="es-MX"/>
              </w:rPr>
              <w:t>Subalasto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4,245,184.89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Acarreos</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66,750,118.33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Construcción del Puente </w:t>
            </w:r>
            <w:proofErr w:type="spellStart"/>
            <w:r w:rsidRPr="006467A4">
              <w:rPr>
                <w:rFonts w:ascii="Calibri" w:eastAsia="Times New Roman" w:hAnsi="Calibri" w:cs="Calibri"/>
                <w:color w:val="000000"/>
                <w:sz w:val="16"/>
                <w:szCs w:val="16"/>
                <w:lang w:eastAsia="es-MX"/>
              </w:rPr>
              <w:t>Coatan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94,082,104.95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del Puente Hidalgo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6,677,225.33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 un Paso Superior Ferroviario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21,367,121.07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del Puente Río Florido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8,012,670.40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Armado de vía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14,823,440.24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9</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Línea y Nivel</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520,823.58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Alcantarillado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16,693,063.33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Adquisición de Balasto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8,146,214.91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Obra inducida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14,875,660.41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Transporte de 20,000 </w:t>
            </w:r>
            <w:proofErr w:type="spellStart"/>
            <w:r w:rsidRPr="006467A4">
              <w:rPr>
                <w:rFonts w:ascii="Calibri" w:eastAsia="Times New Roman" w:hAnsi="Calibri" w:cs="Calibri"/>
                <w:color w:val="000000"/>
                <w:sz w:val="16"/>
                <w:szCs w:val="16"/>
                <w:lang w:eastAsia="es-MX"/>
              </w:rPr>
              <w:t>Dtes</w:t>
            </w:r>
            <w:proofErr w:type="spellEnd"/>
            <w:r w:rsidRPr="006467A4">
              <w:rPr>
                <w:rFonts w:ascii="Calibri" w:eastAsia="Times New Roman" w:hAnsi="Calibri" w:cs="Calibri"/>
                <w:color w:val="000000"/>
                <w:sz w:val="16"/>
                <w:szCs w:val="16"/>
                <w:lang w:eastAsia="es-MX"/>
              </w:rPr>
              <w:t xml:space="preserve">. </w:t>
            </w:r>
            <w:proofErr w:type="spellStart"/>
            <w:r w:rsidRPr="006467A4">
              <w:rPr>
                <w:rFonts w:ascii="Calibri" w:eastAsia="Times New Roman" w:hAnsi="Calibri" w:cs="Calibri"/>
                <w:color w:val="000000"/>
                <w:sz w:val="16"/>
                <w:szCs w:val="16"/>
                <w:lang w:eastAsia="es-MX"/>
              </w:rPr>
              <w:t>Cto</w:t>
            </w:r>
            <w:proofErr w:type="spellEnd"/>
            <w:r w:rsidRPr="006467A4">
              <w:rPr>
                <w:rFonts w:ascii="Calibri" w:eastAsia="Times New Roman" w:hAnsi="Calibri" w:cs="Calibri"/>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4,921,115.07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Sondeos p/Mecánica de Suelos</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194,974.98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Durmiente de Concreto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17,593,153.31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Grapa, Perno y Clavo de Vía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5,685,534.28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Cojinetes y Placa de Hule</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576,912.27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Placa de asiento</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1,198,695.49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Herraje Nº 10</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320,378.61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Madera para Puente (</w:t>
            </w:r>
            <w:proofErr w:type="spellStart"/>
            <w:r w:rsidRPr="006467A4">
              <w:rPr>
                <w:rFonts w:ascii="Calibri" w:eastAsia="Times New Roman" w:hAnsi="Calibri" w:cs="Calibri"/>
                <w:color w:val="000000"/>
                <w:sz w:val="16"/>
                <w:szCs w:val="16"/>
                <w:lang w:eastAsia="es-MX"/>
              </w:rPr>
              <w:t>Dtes</w:t>
            </w:r>
            <w:proofErr w:type="spellEnd"/>
            <w:r w:rsidRPr="006467A4">
              <w:rPr>
                <w:rFonts w:ascii="Calibri" w:eastAsia="Times New Roman" w:hAnsi="Calibri" w:cs="Calibri"/>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3,972,117.09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21</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Riel</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43,594,550.83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17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Subtotal</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85,978,390.93 </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271,728,342.53 </w:t>
            </w:r>
          </w:p>
        </w:tc>
      </w:tr>
      <w:tr w:rsidR="006467A4" w:rsidRPr="006467A4" w:rsidTr="006467A4">
        <w:trPr>
          <w:trHeight w:val="17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Suma Subtotales</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357,706,733.46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Liberación del derecho de vía</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20,031,676.00 </w:t>
            </w:r>
          </w:p>
        </w:tc>
      </w:tr>
      <w:tr w:rsidR="006467A4" w:rsidRPr="006467A4" w:rsidTr="006467A4">
        <w:trPr>
          <w:trHeight w:val="1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Levantamiento de vías</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2,616,489.18 </w:t>
            </w:r>
          </w:p>
        </w:tc>
      </w:tr>
      <w:tr w:rsidR="006467A4" w:rsidRPr="006467A4" w:rsidTr="006467A4">
        <w:trPr>
          <w:trHeight w:val="17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Inversión Total</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380,354,898.64 </w:t>
            </w:r>
          </w:p>
        </w:tc>
      </w:tr>
    </w:tbl>
    <w:p w:rsidR="006467A4" w:rsidRPr="006467A4" w:rsidRDefault="006467A4" w:rsidP="006467A4">
      <w:pPr>
        <w:ind w:right="-376"/>
        <w:jc w:val="center"/>
        <w:rPr>
          <w:sz w:val="18"/>
          <w:szCs w:val="18"/>
          <w:lang w:eastAsia="en-AU"/>
        </w:rPr>
      </w:pPr>
      <w:r w:rsidRPr="006467A4">
        <w:rPr>
          <w:sz w:val="18"/>
          <w:szCs w:val="18"/>
          <w:lang w:eastAsia="en-AU"/>
        </w:rPr>
        <w:t>Fuente: Elaboración propia con datos de Ferrocarril del Istmo de Tehuantepec, S.A. de C.V.</w:t>
      </w:r>
    </w:p>
    <w:p w:rsidR="006467A4" w:rsidRPr="006467A4" w:rsidRDefault="006467A4" w:rsidP="006467A4"/>
    <w:p w:rsidR="006467A4" w:rsidRPr="006467A4" w:rsidRDefault="006467A4" w:rsidP="006467A4"/>
    <w:p w:rsidR="006467A4" w:rsidRDefault="006467A4" w:rsidP="006467A4">
      <w:pPr>
        <w:ind w:right="-376"/>
        <w:jc w:val="both"/>
        <w:rPr>
          <w:lang w:eastAsia="en-AU"/>
        </w:rPr>
      </w:pPr>
    </w:p>
    <w:p w:rsidR="00634447" w:rsidRDefault="00634447" w:rsidP="006467A4">
      <w:pPr>
        <w:ind w:right="-376"/>
        <w:jc w:val="both"/>
        <w:rPr>
          <w:lang w:eastAsia="en-AU"/>
        </w:rPr>
      </w:pPr>
    </w:p>
    <w:p w:rsidR="00634447" w:rsidRDefault="00634447" w:rsidP="006467A4">
      <w:pPr>
        <w:ind w:right="-376"/>
        <w:jc w:val="both"/>
        <w:rPr>
          <w:lang w:eastAsia="en-AU"/>
        </w:rPr>
      </w:pPr>
    </w:p>
    <w:p w:rsidR="00634447" w:rsidRDefault="00634447" w:rsidP="006467A4">
      <w:pPr>
        <w:ind w:right="-376"/>
        <w:jc w:val="both"/>
        <w:rPr>
          <w:lang w:eastAsia="en-AU"/>
        </w:rPr>
      </w:pPr>
    </w:p>
    <w:p w:rsidR="00634447" w:rsidRDefault="00634447" w:rsidP="006467A4">
      <w:pPr>
        <w:ind w:right="-376"/>
        <w:jc w:val="both"/>
        <w:rPr>
          <w:lang w:eastAsia="en-AU"/>
        </w:rPr>
      </w:pPr>
    </w:p>
    <w:p w:rsidR="00634447" w:rsidRDefault="00634447" w:rsidP="006467A4">
      <w:pPr>
        <w:ind w:right="-376"/>
        <w:jc w:val="both"/>
        <w:rPr>
          <w:lang w:eastAsia="en-AU"/>
        </w:rPr>
      </w:pPr>
    </w:p>
    <w:p w:rsidR="00634447" w:rsidRDefault="00634447" w:rsidP="006467A4">
      <w:pPr>
        <w:ind w:right="-376"/>
        <w:jc w:val="both"/>
        <w:rPr>
          <w:lang w:eastAsia="en-AU"/>
        </w:rPr>
      </w:pPr>
    </w:p>
    <w:p w:rsidR="00634447" w:rsidRDefault="00634447" w:rsidP="006467A4">
      <w:pPr>
        <w:ind w:right="-376"/>
        <w:jc w:val="both"/>
        <w:rPr>
          <w:lang w:eastAsia="en-AU"/>
        </w:rPr>
      </w:pPr>
    </w:p>
    <w:p w:rsidR="00634447" w:rsidRPr="00634447" w:rsidRDefault="006467A4" w:rsidP="00634447">
      <w:pPr>
        <w:pStyle w:val="Ttulo1"/>
        <w:numPr>
          <w:ilvl w:val="0"/>
          <w:numId w:val="6"/>
        </w:numPr>
        <w:ind w:right="-376" w:hanging="76"/>
        <w:rPr>
          <w:rFonts w:asciiTheme="minorHAnsi" w:hAnsiTheme="minorHAnsi"/>
          <w:sz w:val="24"/>
          <w:lang w:val="es-ES_tradnl"/>
        </w:rPr>
      </w:pPr>
      <w:bookmarkStart w:id="43" w:name="_Toc498519487"/>
      <w:r w:rsidRPr="006467A4">
        <w:rPr>
          <w:rFonts w:asciiTheme="minorHAnsi" w:hAnsiTheme="minorHAnsi"/>
          <w:sz w:val="24"/>
          <w:lang w:val="es-ES_tradnl"/>
        </w:rPr>
        <w:lastRenderedPageBreak/>
        <w:t>Monto</w:t>
      </w:r>
      <w:r>
        <w:rPr>
          <w:rFonts w:asciiTheme="minorHAnsi" w:hAnsiTheme="minorHAnsi"/>
          <w:sz w:val="24"/>
          <w:lang w:val="es-ES_tradnl"/>
        </w:rPr>
        <w:t xml:space="preserve"> Total</w:t>
      </w:r>
      <w:r w:rsidRPr="006467A4">
        <w:rPr>
          <w:rFonts w:asciiTheme="minorHAnsi" w:hAnsiTheme="minorHAnsi"/>
          <w:sz w:val="24"/>
          <w:lang w:val="es-ES_tradnl"/>
        </w:rPr>
        <w:t xml:space="preserve"> de inversión ejercido real.</w:t>
      </w:r>
      <w:bookmarkEnd w:id="43"/>
    </w:p>
    <w:p w:rsidR="00634447" w:rsidRPr="00634447" w:rsidRDefault="00634447" w:rsidP="00634447">
      <w:pPr>
        <w:ind w:right="-376"/>
        <w:jc w:val="both"/>
        <w:rPr>
          <w:lang w:eastAsia="en-AU"/>
        </w:rPr>
      </w:pPr>
      <w:r>
        <w:rPr>
          <w:lang w:eastAsia="en-AU"/>
        </w:rPr>
        <w:t>Los costos ejercidos de inversión registrados en cartera se muestran en las siguientes tablas:</w:t>
      </w:r>
    </w:p>
    <w:p w:rsidR="006467A4" w:rsidRPr="006467A4" w:rsidRDefault="006467A4" w:rsidP="006467A4">
      <w:pPr>
        <w:pStyle w:val="Ttulo3"/>
        <w:ind w:left="-5"/>
        <w:jc w:val="center"/>
        <w:rPr>
          <w:color w:val="auto"/>
          <w:sz w:val="20"/>
          <w:szCs w:val="20"/>
        </w:rPr>
      </w:pPr>
      <w:bookmarkStart w:id="44" w:name="_Toc498519488"/>
      <w:r>
        <w:rPr>
          <w:color w:val="auto"/>
          <w:sz w:val="20"/>
          <w:szCs w:val="20"/>
        </w:rPr>
        <w:t>Tabla13</w:t>
      </w:r>
      <w:r w:rsidRPr="006467A4">
        <w:rPr>
          <w:color w:val="auto"/>
          <w:sz w:val="20"/>
          <w:szCs w:val="20"/>
        </w:rPr>
        <w:t>. Inversión Total Ex Post (a precios de 2008)</w:t>
      </w:r>
      <w:r>
        <w:rPr>
          <w:color w:val="auto"/>
          <w:sz w:val="20"/>
          <w:szCs w:val="20"/>
        </w:rPr>
        <w:t>.</w:t>
      </w:r>
      <w:bookmarkEnd w:id="44"/>
    </w:p>
    <w:tbl>
      <w:tblPr>
        <w:tblW w:w="0" w:type="auto"/>
        <w:tblInd w:w="-147" w:type="dxa"/>
        <w:tblLayout w:type="fixed"/>
        <w:tblCellMar>
          <w:left w:w="70" w:type="dxa"/>
          <w:right w:w="70" w:type="dxa"/>
        </w:tblCellMar>
        <w:tblLook w:val="04A0" w:firstRow="1" w:lastRow="0" w:firstColumn="1" w:lastColumn="0" w:noHBand="0" w:noVBand="1"/>
      </w:tblPr>
      <w:tblGrid>
        <w:gridCol w:w="449"/>
        <w:gridCol w:w="2387"/>
        <w:gridCol w:w="1417"/>
        <w:gridCol w:w="1418"/>
        <w:gridCol w:w="1559"/>
        <w:gridCol w:w="1559"/>
      </w:tblGrid>
      <w:tr w:rsidR="006467A4" w:rsidRPr="006467A4" w:rsidTr="006467A4">
        <w:trPr>
          <w:trHeight w:val="227"/>
        </w:trPr>
        <w:tc>
          <w:tcPr>
            <w:tcW w:w="8789" w:type="dxa"/>
            <w:gridSpan w:val="6"/>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Inversión ex ante sin IVA (pesos 2017)</w:t>
            </w:r>
          </w:p>
        </w:tc>
      </w:tr>
      <w:tr w:rsidR="006467A4" w:rsidRPr="006467A4" w:rsidTr="006467A4">
        <w:trPr>
          <w:trHeight w:val="227"/>
        </w:trPr>
        <w:tc>
          <w:tcPr>
            <w:tcW w:w="2836" w:type="dxa"/>
            <w:gridSpan w:val="2"/>
            <w:tcBorders>
              <w:top w:val="single" w:sz="4" w:space="0" w:color="auto"/>
              <w:left w:val="single" w:sz="4" w:space="0" w:color="auto"/>
              <w:bottom w:val="single" w:sz="4" w:space="0" w:color="auto"/>
              <w:right w:val="single" w:sz="4" w:space="0" w:color="000000"/>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CONCEPTO</w:t>
            </w:r>
          </w:p>
        </w:tc>
        <w:tc>
          <w:tcPr>
            <w:tcW w:w="1417" w:type="dxa"/>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2008</w:t>
            </w:r>
          </w:p>
        </w:tc>
        <w:tc>
          <w:tcPr>
            <w:tcW w:w="1418" w:type="dxa"/>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2009</w:t>
            </w:r>
          </w:p>
        </w:tc>
        <w:tc>
          <w:tcPr>
            <w:tcW w:w="1559" w:type="dxa"/>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2010</w:t>
            </w:r>
          </w:p>
        </w:tc>
        <w:tc>
          <w:tcPr>
            <w:tcW w:w="1559" w:type="dxa"/>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2011</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Proyecto Ejecutivo</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6,024,935.49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Supervisión de Obra</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56,799,341.20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3</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Construcción de </w:t>
            </w:r>
            <w:r w:rsidR="00085FBF" w:rsidRPr="006467A4">
              <w:rPr>
                <w:rFonts w:ascii="Calibri" w:eastAsia="Times New Roman" w:hAnsi="Calibri" w:cs="Calibri"/>
                <w:color w:val="000000"/>
                <w:sz w:val="16"/>
                <w:szCs w:val="16"/>
                <w:lang w:eastAsia="es-MX"/>
              </w:rPr>
              <w:t>Terracerías</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4,065,161.60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4</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Construcción del Puente </w:t>
            </w:r>
            <w:proofErr w:type="spellStart"/>
            <w:r w:rsidRPr="006467A4">
              <w:rPr>
                <w:rFonts w:ascii="Calibri" w:eastAsia="Times New Roman" w:hAnsi="Calibri" w:cs="Calibri"/>
                <w:color w:val="000000"/>
                <w:sz w:val="16"/>
                <w:szCs w:val="16"/>
                <w:lang w:eastAsia="es-MX"/>
              </w:rPr>
              <w:t>Coatan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7,965,284.58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5</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del Puente Hidalgo</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17,016,349.51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6</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 un Paso Superior Ferroviario</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6,228,036.04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7</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del Puente Río Florido</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7,592,974.25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8</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Armado de vía</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17,071,808.67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9</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Línea y Nivel</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1,316,970.75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10</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Alcantarillado</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12,124,309.36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11</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Adquisición de Balasto</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26,583,188.01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12</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Obra inducida</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886,244.19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13</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Transporte de 20,000 </w:t>
            </w:r>
            <w:proofErr w:type="spellStart"/>
            <w:r w:rsidRPr="006467A4">
              <w:rPr>
                <w:rFonts w:ascii="Calibri" w:eastAsia="Times New Roman" w:hAnsi="Calibri" w:cs="Calibri"/>
                <w:color w:val="000000"/>
                <w:sz w:val="16"/>
                <w:szCs w:val="16"/>
                <w:lang w:eastAsia="es-MX"/>
              </w:rPr>
              <w:t>Dtes</w:t>
            </w:r>
            <w:proofErr w:type="spellEnd"/>
            <w:r w:rsidRPr="006467A4">
              <w:rPr>
                <w:rFonts w:ascii="Calibri" w:eastAsia="Times New Roman" w:hAnsi="Calibri" w:cs="Calibri"/>
                <w:color w:val="000000"/>
                <w:sz w:val="16"/>
                <w:szCs w:val="16"/>
                <w:lang w:eastAsia="es-MX"/>
              </w:rPr>
              <w:t xml:space="preserve">. </w:t>
            </w:r>
            <w:proofErr w:type="spellStart"/>
            <w:r w:rsidRPr="006467A4">
              <w:rPr>
                <w:rFonts w:ascii="Calibri" w:eastAsia="Times New Roman" w:hAnsi="Calibri" w:cs="Calibri"/>
                <w:color w:val="000000"/>
                <w:sz w:val="16"/>
                <w:szCs w:val="16"/>
                <w:lang w:eastAsia="es-MX"/>
              </w:rPr>
              <w:t>Cto</w:t>
            </w:r>
            <w:proofErr w:type="spellEnd"/>
            <w:r w:rsidRPr="006467A4">
              <w:rPr>
                <w:rFonts w:ascii="Calibri" w:eastAsia="Times New Roman" w:hAnsi="Calibri" w:cs="Calibri"/>
                <w:color w:val="000000"/>
                <w:sz w:val="16"/>
                <w:szCs w:val="16"/>
                <w:lang w:eastAsia="es-MX"/>
              </w:rPr>
              <w:t>.</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4,119,181.03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14</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Sondeos p/Mecánica de Suelos</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728,839.27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15</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Durmiente de Concreto</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12,594,482.76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16</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Grapa, Perno y Clavo de Vía</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4,220,706.22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17</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Cojinetes y Placa de Hule</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428,275.86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18</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Placa de asiento</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889,862.07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19</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Herraje Nº 10</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237,835.86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20</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Madera para Puente (</w:t>
            </w:r>
            <w:proofErr w:type="spellStart"/>
            <w:r w:rsidRPr="006467A4">
              <w:rPr>
                <w:rFonts w:ascii="Calibri" w:eastAsia="Times New Roman" w:hAnsi="Calibri" w:cs="Calibri"/>
                <w:color w:val="000000"/>
                <w:sz w:val="16"/>
                <w:szCs w:val="16"/>
                <w:lang w:eastAsia="es-MX"/>
              </w:rPr>
              <w:t>Dtes</w:t>
            </w:r>
            <w:proofErr w:type="spellEnd"/>
            <w:r w:rsidRPr="006467A4">
              <w:rPr>
                <w:rFonts w:ascii="Calibri" w:eastAsia="Times New Roman" w:hAnsi="Calibri" w:cs="Calibri"/>
                <w:color w:val="000000"/>
                <w:sz w:val="16"/>
                <w:szCs w:val="16"/>
                <w:lang w:eastAsia="es-MX"/>
              </w:rPr>
              <w:t>)</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2,219,896.68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21</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Riel</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32,362,795.60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2836"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Subtotal</w:t>
            </w:r>
          </w:p>
        </w:tc>
        <w:tc>
          <w:tcPr>
            <w:tcW w:w="1417"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63,826,810.84 </w:t>
            </w:r>
          </w:p>
        </w:tc>
        <w:tc>
          <w:tcPr>
            <w:tcW w:w="1418"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116,738,955.85 </w:t>
            </w: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40,910,712.32 </w:t>
            </w:r>
          </w:p>
        </w:tc>
      </w:tr>
      <w:tr w:rsidR="006467A4" w:rsidRPr="006467A4" w:rsidTr="006467A4">
        <w:trPr>
          <w:trHeight w:val="227"/>
        </w:trPr>
        <w:tc>
          <w:tcPr>
            <w:tcW w:w="2836"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Suma Subtotales</w:t>
            </w:r>
          </w:p>
        </w:tc>
        <w:tc>
          <w:tcPr>
            <w:tcW w:w="1417"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221,476,479.01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22</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Liberación del derecho de vía</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15,000,000.00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23</w:t>
            </w:r>
          </w:p>
        </w:tc>
        <w:tc>
          <w:tcPr>
            <w:tcW w:w="238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Levantamiento de vías</w:t>
            </w:r>
          </w:p>
        </w:tc>
        <w:tc>
          <w:tcPr>
            <w:tcW w:w="1417"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1,959,263.80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6467A4">
        <w:trPr>
          <w:trHeight w:val="227"/>
        </w:trPr>
        <w:tc>
          <w:tcPr>
            <w:tcW w:w="2836"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Inversión Total</w:t>
            </w:r>
          </w:p>
        </w:tc>
        <w:tc>
          <w:tcPr>
            <w:tcW w:w="1417"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18"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238,435,742.81 </w:t>
            </w:r>
          </w:p>
        </w:tc>
      </w:tr>
    </w:tbl>
    <w:p w:rsidR="006467A4" w:rsidRPr="006467A4" w:rsidRDefault="006467A4" w:rsidP="006467A4">
      <w:pPr>
        <w:ind w:right="-376"/>
        <w:jc w:val="both"/>
        <w:rPr>
          <w:sz w:val="18"/>
          <w:szCs w:val="18"/>
          <w:lang w:eastAsia="en-AU"/>
        </w:rPr>
      </w:pPr>
      <w:r w:rsidRPr="006467A4">
        <w:rPr>
          <w:sz w:val="18"/>
          <w:szCs w:val="18"/>
          <w:lang w:eastAsia="en-AU"/>
        </w:rPr>
        <w:t>Fuente: Elaboración propia con datos de Ferrocarril del Istmo de Tehuantepec, S.A. de C.V.</w:t>
      </w:r>
    </w:p>
    <w:p w:rsidR="006467A4" w:rsidRDefault="006467A4" w:rsidP="006467A4">
      <w:pPr>
        <w:ind w:right="-376"/>
        <w:jc w:val="both"/>
        <w:rPr>
          <w:lang w:eastAsia="en-AU"/>
        </w:rPr>
      </w:pPr>
    </w:p>
    <w:p w:rsidR="006467A4" w:rsidRDefault="006467A4" w:rsidP="006467A4">
      <w:pPr>
        <w:ind w:right="-376"/>
        <w:jc w:val="both"/>
        <w:rPr>
          <w:lang w:eastAsia="en-AU"/>
        </w:rPr>
      </w:pPr>
    </w:p>
    <w:p w:rsidR="006467A4" w:rsidRDefault="006467A4" w:rsidP="006467A4">
      <w:pPr>
        <w:ind w:right="-376"/>
        <w:jc w:val="both"/>
        <w:rPr>
          <w:lang w:eastAsia="en-AU"/>
        </w:rPr>
      </w:pPr>
    </w:p>
    <w:p w:rsidR="006467A4" w:rsidRDefault="006467A4" w:rsidP="006467A4">
      <w:pPr>
        <w:ind w:right="-376"/>
        <w:jc w:val="both"/>
        <w:rPr>
          <w:lang w:eastAsia="en-AU"/>
        </w:rPr>
      </w:pPr>
    </w:p>
    <w:p w:rsidR="006467A4" w:rsidRDefault="006467A4" w:rsidP="006467A4">
      <w:pPr>
        <w:ind w:right="-376"/>
        <w:jc w:val="both"/>
        <w:rPr>
          <w:lang w:eastAsia="en-AU"/>
        </w:rPr>
      </w:pPr>
    </w:p>
    <w:p w:rsidR="006467A4" w:rsidRDefault="006467A4" w:rsidP="006467A4">
      <w:pPr>
        <w:ind w:right="-376"/>
        <w:jc w:val="both"/>
        <w:rPr>
          <w:lang w:eastAsia="en-AU"/>
        </w:rPr>
      </w:pPr>
    </w:p>
    <w:p w:rsidR="006467A4" w:rsidRDefault="006467A4" w:rsidP="006467A4">
      <w:pPr>
        <w:ind w:right="-376"/>
        <w:jc w:val="both"/>
        <w:rPr>
          <w:lang w:eastAsia="en-AU"/>
        </w:rPr>
      </w:pPr>
    </w:p>
    <w:p w:rsidR="006467A4" w:rsidRDefault="006467A4" w:rsidP="006467A4">
      <w:pPr>
        <w:ind w:right="-376"/>
        <w:jc w:val="both"/>
        <w:rPr>
          <w:lang w:eastAsia="en-AU"/>
        </w:rPr>
      </w:pPr>
    </w:p>
    <w:p w:rsidR="006467A4" w:rsidRDefault="006467A4" w:rsidP="006467A4">
      <w:pPr>
        <w:ind w:right="-376"/>
        <w:jc w:val="both"/>
        <w:rPr>
          <w:lang w:eastAsia="en-AU"/>
        </w:rPr>
      </w:pPr>
    </w:p>
    <w:p w:rsidR="006467A4" w:rsidRPr="006467A4" w:rsidRDefault="006467A4" w:rsidP="006467A4">
      <w:pPr>
        <w:pStyle w:val="Ttulo3"/>
        <w:ind w:left="-5"/>
        <w:jc w:val="center"/>
        <w:rPr>
          <w:color w:val="auto"/>
          <w:sz w:val="20"/>
          <w:szCs w:val="20"/>
        </w:rPr>
      </w:pPr>
      <w:bookmarkStart w:id="45" w:name="_Toc498519489"/>
      <w:r w:rsidRPr="006467A4">
        <w:rPr>
          <w:color w:val="auto"/>
          <w:sz w:val="20"/>
          <w:szCs w:val="20"/>
        </w:rPr>
        <w:lastRenderedPageBreak/>
        <w:t>Tabla</w:t>
      </w:r>
      <w:r>
        <w:rPr>
          <w:color w:val="auto"/>
          <w:sz w:val="20"/>
          <w:szCs w:val="20"/>
        </w:rPr>
        <w:t xml:space="preserve"> 14</w:t>
      </w:r>
      <w:r w:rsidRPr="006467A4">
        <w:rPr>
          <w:color w:val="auto"/>
          <w:sz w:val="20"/>
          <w:szCs w:val="20"/>
        </w:rPr>
        <w:t>. Inversión Total Ex Post (a precios de 2017)</w:t>
      </w:r>
      <w:r>
        <w:rPr>
          <w:color w:val="auto"/>
          <w:sz w:val="20"/>
          <w:szCs w:val="20"/>
        </w:rPr>
        <w:t>.</w:t>
      </w:r>
      <w:bookmarkEnd w:id="45"/>
    </w:p>
    <w:tbl>
      <w:tblPr>
        <w:tblW w:w="9067" w:type="dxa"/>
        <w:jc w:val="center"/>
        <w:tblLayout w:type="fixed"/>
        <w:tblCellMar>
          <w:left w:w="70" w:type="dxa"/>
          <w:right w:w="70" w:type="dxa"/>
        </w:tblCellMar>
        <w:tblLook w:val="04A0" w:firstRow="1" w:lastRow="0" w:firstColumn="1" w:lastColumn="0" w:noHBand="0" w:noVBand="1"/>
      </w:tblPr>
      <w:tblGrid>
        <w:gridCol w:w="403"/>
        <w:gridCol w:w="2646"/>
        <w:gridCol w:w="1459"/>
        <w:gridCol w:w="1468"/>
        <w:gridCol w:w="1532"/>
        <w:gridCol w:w="1559"/>
      </w:tblGrid>
      <w:tr w:rsidR="006467A4" w:rsidRPr="006467A4" w:rsidTr="00085FBF">
        <w:trPr>
          <w:trHeight w:val="57"/>
          <w:jc w:val="center"/>
        </w:trPr>
        <w:tc>
          <w:tcPr>
            <w:tcW w:w="9067" w:type="dxa"/>
            <w:gridSpan w:val="6"/>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Inversión ex ante sin IVA (pesos 2017)</w:t>
            </w:r>
          </w:p>
        </w:tc>
      </w:tr>
      <w:tr w:rsidR="006467A4" w:rsidRPr="006467A4" w:rsidTr="00085FBF">
        <w:trPr>
          <w:trHeight w:val="57"/>
          <w:jc w:val="center"/>
        </w:trPr>
        <w:tc>
          <w:tcPr>
            <w:tcW w:w="3049" w:type="dxa"/>
            <w:gridSpan w:val="2"/>
            <w:tcBorders>
              <w:top w:val="single" w:sz="4" w:space="0" w:color="auto"/>
              <w:left w:val="single" w:sz="4" w:space="0" w:color="auto"/>
              <w:bottom w:val="single" w:sz="4" w:space="0" w:color="auto"/>
              <w:right w:val="single" w:sz="4" w:space="0" w:color="000000"/>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CONCEPTO</w:t>
            </w:r>
          </w:p>
        </w:tc>
        <w:tc>
          <w:tcPr>
            <w:tcW w:w="1459" w:type="dxa"/>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2008</w:t>
            </w:r>
          </w:p>
        </w:tc>
        <w:tc>
          <w:tcPr>
            <w:tcW w:w="1468" w:type="dxa"/>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2009</w:t>
            </w:r>
          </w:p>
        </w:tc>
        <w:tc>
          <w:tcPr>
            <w:tcW w:w="1532" w:type="dxa"/>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2010</w:t>
            </w:r>
          </w:p>
        </w:tc>
        <w:tc>
          <w:tcPr>
            <w:tcW w:w="1559" w:type="dxa"/>
            <w:tcBorders>
              <w:top w:val="nil"/>
              <w:left w:val="nil"/>
              <w:bottom w:val="single" w:sz="4" w:space="0" w:color="auto"/>
              <w:right w:val="single" w:sz="4" w:space="0" w:color="auto"/>
            </w:tcBorders>
            <w:shd w:val="clear" w:color="000000" w:fill="C00000"/>
            <w:noWrap/>
            <w:vAlign w:val="bottom"/>
            <w:hideMark/>
          </w:tcPr>
          <w:p w:rsidR="006467A4" w:rsidRPr="006467A4" w:rsidRDefault="006467A4" w:rsidP="006467A4">
            <w:pPr>
              <w:spacing w:after="0" w:line="240" w:lineRule="auto"/>
              <w:jc w:val="center"/>
              <w:rPr>
                <w:rFonts w:ascii="Calibri" w:eastAsia="Times New Roman" w:hAnsi="Calibri" w:cs="Calibri"/>
                <w:b/>
                <w:bCs/>
                <w:color w:val="FFFFFF"/>
                <w:sz w:val="16"/>
                <w:szCs w:val="16"/>
                <w:lang w:eastAsia="es-MX"/>
              </w:rPr>
            </w:pPr>
            <w:r w:rsidRPr="006467A4">
              <w:rPr>
                <w:rFonts w:ascii="Calibri" w:eastAsia="Times New Roman" w:hAnsi="Calibri" w:cs="Calibri"/>
                <w:b/>
                <w:bCs/>
                <w:color w:val="FFFFFF"/>
                <w:sz w:val="16"/>
                <w:szCs w:val="16"/>
                <w:lang w:eastAsia="es-MX"/>
              </w:rPr>
              <w:t>2011</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Proyecto Ejecutivo</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8,045,970.38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Supervisión de Obra</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75,852,400.00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3</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Construcción de </w:t>
            </w:r>
            <w:r w:rsidR="00085FBF" w:rsidRPr="006467A4">
              <w:rPr>
                <w:rFonts w:ascii="Calibri" w:eastAsia="Times New Roman" w:hAnsi="Calibri" w:cs="Calibri"/>
                <w:color w:val="000000"/>
                <w:sz w:val="16"/>
                <w:szCs w:val="16"/>
                <w:lang w:eastAsia="es-MX"/>
              </w:rPr>
              <w:t>Terracerías</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5,428,800.00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4</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Construcción del Puente </w:t>
            </w:r>
            <w:proofErr w:type="spellStart"/>
            <w:r w:rsidRPr="006467A4">
              <w:rPr>
                <w:rFonts w:ascii="Calibri" w:eastAsia="Times New Roman" w:hAnsi="Calibri" w:cs="Calibri"/>
                <w:color w:val="000000"/>
                <w:sz w:val="16"/>
                <w:szCs w:val="16"/>
                <w:lang w:eastAsia="es-MX"/>
              </w:rPr>
              <w:t>Coatan</w:t>
            </w:r>
            <w:proofErr w:type="spellEnd"/>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10,637,200.00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5</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del Puente Hidalgo</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22,724,400.00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6</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 un Paso Superior Ferroviario</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8,317,200.00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7</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Construcción del Puente Río Florido</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10,140,000.00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8</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Armado de vía</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22,798,462.67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9</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Línea y Nivel</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1,758,742.10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10</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Alcantarillado</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16,191,349.12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11</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Adquisición de Balasto</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35,500,387.29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12</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Obra inducida</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1,183,530.44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13</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Transporte de 20,000 </w:t>
            </w:r>
            <w:proofErr w:type="spellStart"/>
            <w:r w:rsidRPr="006467A4">
              <w:rPr>
                <w:rFonts w:ascii="Calibri" w:eastAsia="Times New Roman" w:hAnsi="Calibri" w:cs="Calibri"/>
                <w:color w:val="000000"/>
                <w:sz w:val="16"/>
                <w:szCs w:val="16"/>
                <w:lang w:eastAsia="es-MX"/>
              </w:rPr>
              <w:t>Dtes</w:t>
            </w:r>
            <w:proofErr w:type="spellEnd"/>
            <w:r w:rsidRPr="006467A4">
              <w:rPr>
                <w:rFonts w:ascii="Calibri" w:eastAsia="Times New Roman" w:hAnsi="Calibri" w:cs="Calibri"/>
                <w:color w:val="000000"/>
                <w:sz w:val="16"/>
                <w:szCs w:val="16"/>
                <w:lang w:eastAsia="es-MX"/>
              </w:rPr>
              <w:t xml:space="preserve">. </w:t>
            </w:r>
            <w:proofErr w:type="spellStart"/>
            <w:r w:rsidRPr="006467A4">
              <w:rPr>
                <w:rFonts w:ascii="Calibri" w:eastAsia="Times New Roman" w:hAnsi="Calibri" w:cs="Calibri"/>
                <w:color w:val="000000"/>
                <w:sz w:val="16"/>
                <w:szCs w:val="16"/>
                <w:lang w:eastAsia="es-MX"/>
              </w:rPr>
              <w:t>Cto</w:t>
            </w:r>
            <w:proofErr w:type="spellEnd"/>
            <w:r w:rsidRPr="006467A4">
              <w:rPr>
                <w:rFonts w:ascii="Calibri" w:eastAsia="Times New Roman" w:hAnsi="Calibri" w:cs="Calibri"/>
                <w:color w:val="000000"/>
                <w:sz w:val="16"/>
                <w:szCs w:val="16"/>
                <w:lang w:eastAsia="es-MX"/>
              </w:rPr>
              <w:t>.</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5,500,939.99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14</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Sondeos p/Mecánica de Suelos</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973,324.80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15</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Durmiente de Concreto</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16,819,239.87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16</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Grapa, Perno y Clavo de Vía</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5,636,521.29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17</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Cojinetes y Placa de Hule</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571,938.89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18</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Placa de asiento</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1,188,361.91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19</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Herraje Nº 10</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317,616.73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20</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Madera para Puente (</w:t>
            </w:r>
            <w:proofErr w:type="spellStart"/>
            <w:r w:rsidRPr="006467A4">
              <w:rPr>
                <w:rFonts w:ascii="Calibri" w:eastAsia="Times New Roman" w:hAnsi="Calibri" w:cs="Calibri"/>
                <w:color w:val="000000"/>
                <w:sz w:val="16"/>
                <w:szCs w:val="16"/>
                <w:lang w:eastAsia="es-MX"/>
              </w:rPr>
              <w:t>Dtes</w:t>
            </w:r>
            <w:proofErr w:type="spellEnd"/>
            <w:r w:rsidRPr="006467A4">
              <w:rPr>
                <w:rFonts w:ascii="Calibri" w:eastAsia="Times New Roman" w:hAnsi="Calibri" w:cs="Calibri"/>
                <w:color w:val="000000"/>
                <w:sz w:val="16"/>
                <w:szCs w:val="16"/>
                <w:lang w:eastAsia="es-MX"/>
              </w:rPr>
              <w:t>)</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2,964,550.07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21</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Riel</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43,218,735.73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3049"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Subtotal</w:t>
            </w:r>
          </w:p>
        </w:tc>
        <w:tc>
          <w:tcPr>
            <w:tcW w:w="14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85,237,199.66 </w:t>
            </w:r>
          </w:p>
        </w:tc>
        <w:tc>
          <w:tcPr>
            <w:tcW w:w="1468"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155,898,462.67 </w:t>
            </w: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54,634,008.94 </w:t>
            </w:r>
          </w:p>
        </w:tc>
      </w:tr>
      <w:tr w:rsidR="006467A4" w:rsidRPr="006467A4" w:rsidTr="00085FBF">
        <w:trPr>
          <w:trHeight w:val="57"/>
          <w:jc w:val="center"/>
        </w:trPr>
        <w:tc>
          <w:tcPr>
            <w:tcW w:w="3049"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467A4">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Suma Subtotales</w:t>
            </w:r>
          </w:p>
        </w:tc>
        <w:tc>
          <w:tcPr>
            <w:tcW w:w="14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32"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295,769,671.28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22</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Liberación del derecho de vía</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20,031,676.00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jc w:val="right"/>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23</w:t>
            </w:r>
          </w:p>
        </w:tc>
        <w:tc>
          <w:tcPr>
            <w:tcW w:w="2646"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Levantamiento de vías</w:t>
            </w:r>
          </w:p>
        </w:tc>
        <w:tc>
          <w:tcPr>
            <w:tcW w:w="14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468"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xml:space="preserve"> $      2,616,489.18 </w:t>
            </w:r>
          </w:p>
        </w:tc>
        <w:tc>
          <w:tcPr>
            <w:tcW w:w="1532"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6467A4" w:rsidRPr="006467A4" w:rsidRDefault="006467A4" w:rsidP="006467A4">
            <w:pPr>
              <w:spacing w:after="0" w:line="240" w:lineRule="auto"/>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w:t>
            </w:r>
          </w:p>
        </w:tc>
      </w:tr>
      <w:tr w:rsidR="006467A4" w:rsidRPr="006467A4" w:rsidTr="00085FBF">
        <w:trPr>
          <w:trHeight w:val="57"/>
          <w:jc w:val="center"/>
        </w:trPr>
        <w:tc>
          <w:tcPr>
            <w:tcW w:w="3049"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6467A4" w:rsidRPr="006467A4" w:rsidRDefault="006467A4" w:rsidP="00634447">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Inversión Total</w:t>
            </w:r>
          </w:p>
        </w:tc>
        <w:tc>
          <w:tcPr>
            <w:tcW w:w="14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34447">
            <w:pPr>
              <w:spacing w:after="0" w:line="240" w:lineRule="auto"/>
              <w:jc w:val="center"/>
              <w:rPr>
                <w:rFonts w:ascii="Calibri" w:eastAsia="Times New Roman" w:hAnsi="Calibri" w:cs="Calibri"/>
                <w:color w:val="000000"/>
                <w:sz w:val="16"/>
                <w:szCs w:val="16"/>
                <w:lang w:eastAsia="es-MX"/>
              </w:rPr>
            </w:pPr>
          </w:p>
        </w:tc>
        <w:tc>
          <w:tcPr>
            <w:tcW w:w="1468"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34447">
            <w:pPr>
              <w:spacing w:after="0" w:line="240" w:lineRule="auto"/>
              <w:jc w:val="center"/>
              <w:rPr>
                <w:rFonts w:ascii="Calibri" w:eastAsia="Times New Roman" w:hAnsi="Calibri" w:cs="Calibri"/>
                <w:color w:val="000000"/>
                <w:sz w:val="16"/>
                <w:szCs w:val="16"/>
                <w:lang w:eastAsia="es-MX"/>
              </w:rPr>
            </w:pPr>
          </w:p>
        </w:tc>
        <w:tc>
          <w:tcPr>
            <w:tcW w:w="1532"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34447">
            <w:pPr>
              <w:spacing w:after="0" w:line="240" w:lineRule="auto"/>
              <w:jc w:val="center"/>
              <w:rPr>
                <w:rFonts w:ascii="Calibri" w:eastAsia="Times New Roman" w:hAnsi="Calibri" w:cs="Calibri"/>
                <w:color w:val="000000"/>
                <w:sz w:val="16"/>
                <w:szCs w:val="16"/>
                <w:lang w:eastAsia="es-MX"/>
              </w:rPr>
            </w:pPr>
          </w:p>
        </w:tc>
        <w:tc>
          <w:tcPr>
            <w:tcW w:w="1559" w:type="dxa"/>
            <w:tcBorders>
              <w:top w:val="nil"/>
              <w:left w:val="nil"/>
              <w:bottom w:val="single" w:sz="4" w:space="0" w:color="auto"/>
              <w:right w:val="single" w:sz="4" w:space="0" w:color="auto"/>
            </w:tcBorders>
            <w:shd w:val="clear" w:color="000000" w:fill="F2DCDB"/>
            <w:noWrap/>
            <w:vAlign w:val="bottom"/>
            <w:hideMark/>
          </w:tcPr>
          <w:p w:rsidR="006467A4" w:rsidRPr="006467A4" w:rsidRDefault="006467A4" w:rsidP="00634447">
            <w:pPr>
              <w:spacing w:after="0" w:line="240" w:lineRule="auto"/>
              <w:jc w:val="center"/>
              <w:rPr>
                <w:rFonts w:ascii="Calibri" w:eastAsia="Times New Roman" w:hAnsi="Calibri" w:cs="Calibri"/>
                <w:color w:val="000000"/>
                <w:sz w:val="16"/>
                <w:szCs w:val="16"/>
                <w:lang w:eastAsia="es-MX"/>
              </w:rPr>
            </w:pPr>
            <w:r w:rsidRPr="006467A4">
              <w:rPr>
                <w:rFonts w:ascii="Calibri" w:eastAsia="Times New Roman" w:hAnsi="Calibri" w:cs="Calibri"/>
                <w:color w:val="000000"/>
                <w:sz w:val="16"/>
                <w:szCs w:val="16"/>
                <w:lang w:eastAsia="es-MX"/>
              </w:rPr>
              <w:t>$    318,417,836.46</w:t>
            </w:r>
          </w:p>
        </w:tc>
      </w:tr>
    </w:tbl>
    <w:p w:rsidR="006467A4" w:rsidRPr="00634447" w:rsidRDefault="006467A4" w:rsidP="00634447">
      <w:pPr>
        <w:ind w:right="-376"/>
        <w:jc w:val="center"/>
        <w:rPr>
          <w:sz w:val="18"/>
          <w:szCs w:val="18"/>
          <w:lang w:eastAsia="en-AU"/>
        </w:rPr>
      </w:pPr>
      <w:r w:rsidRPr="006467A4">
        <w:rPr>
          <w:sz w:val="18"/>
          <w:szCs w:val="18"/>
          <w:lang w:eastAsia="en-AU"/>
        </w:rPr>
        <w:t>Fuente: Elaboración propia con datos de Ferrocarril del Ist</w:t>
      </w:r>
      <w:r w:rsidR="00634447">
        <w:rPr>
          <w:sz w:val="18"/>
          <w:szCs w:val="18"/>
          <w:lang w:eastAsia="en-AU"/>
        </w:rPr>
        <w:t>mo de Tehuantepec, S.A. de C.V.</w:t>
      </w:r>
    </w:p>
    <w:p w:rsidR="001C5ABF" w:rsidRPr="00634447" w:rsidRDefault="00634447" w:rsidP="00634447">
      <w:pPr>
        <w:pStyle w:val="Ttulo1"/>
        <w:numPr>
          <w:ilvl w:val="0"/>
          <w:numId w:val="6"/>
        </w:numPr>
        <w:ind w:right="-376" w:hanging="76"/>
        <w:rPr>
          <w:rFonts w:asciiTheme="minorHAnsi" w:hAnsiTheme="minorHAnsi"/>
          <w:sz w:val="24"/>
          <w:lang w:val="es-ES_tradnl"/>
        </w:rPr>
      </w:pPr>
      <w:bookmarkStart w:id="46" w:name="_Toc498519490"/>
      <w:r w:rsidRPr="00634447">
        <w:rPr>
          <w:rFonts w:asciiTheme="minorHAnsi" w:hAnsiTheme="minorHAnsi"/>
          <w:sz w:val="24"/>
          <w:lang w:val="es-ES_tradnl"/>
        </w:rPr>
        <w:t>Justificación de la variación del monto de inversión.</w:t>
      </w:r>
      <w:bookmarkEnd w:id="46"/>
    </w:p>
    <w:p w:rsidR="00634447" w:rsidRDefault="00634447" w:rsidP="00634447">
      <w:pPr>
        <w:spacing w:after="0"/>
        <w:rPr>
          <w:lang w:eastAsia="en-AU"/>
        </w:rPr>
      </w:pPr>
      <w:r w:rsidRPr="003E5D6F">
        <w:rPr>
          <w:lang w:eastAsia="en-AU"/>
        </w:rPr>
        <w:t>La VCC es igual a -1.</w:t>
      </w:r>
      <w:r>
        <w:rPr>
          <w:lang w:eastAsia="en-AU"/>
        </w:rPr>
        <w:t>1627</w:t>
      </w:r>
      <w:r w:rsidRPr="003E5D6F">
        <w:rPr>
          <w:lang w:eastAsia="en-AU"/>
        </w:rPr>
        <w:t>, el monto de inversión del proyecto fue menor al planeado.</w:t>
      </w:r>
    </w:p>
    <w:p w:rsidR="00634447" w:rsidRDefault="00634447" w:rsidP="00634447">
      <w:pPr>
        <w:spacing w:after="0"/>
        <w:rPr>
          <w:lang w:eastAsia="en-AU"/>
        </w:rPr>
      </w:pPr>
    </w:p>
    <w:p w:rsidR="001C5ABF" w:rsidRDefault="001C5ABF" w:rsidP="001C5ABF">
      <w:pPr>
        <w:jc w:val="both"/>
        <w:rPr>
          <w:lang w:eastAsia="en-AU"/>
        </w:rPr>
      </w:pPr>
      <w:r w:rsidRPr="00062EA1">
        <w:rPr>
          <w:lang w:eastAsia="en-AU"/>
        </w:rPr>
        <w:t>La justificación de la variación del Monto de inversión ejercido real respecto al monto total de inversión registrado en Cartera, es debido a que se obtuvieron ahorros y economías en la realización de los trabajos y adquisición de los materiales.</w:t>
      </w:r>
      <w:r>
        <w:rPr>
          <w:lang w:eastAsia="en-AU"/>
        </w:rPr>
        <w:t xml:space="preserve">  </w:t>
      </w:r>
    </w:p>
    <w:p w:rsidR="001C5ABF" w:rsidRPr="00A5517D" w:rsidRDefault="00A5517D" w:rsidP="00A5517D">
      <w:pPr>
        <w:pStyle w:val="Ttulo1"/>
        <w:numPr>
          <w:ilvl w:val="0"/>
          <w:numId w:val="6"/>
        </w:numPr>
        <w:ind w:right="-376" w:hanging="76"/>
        <w:rPr>
          <w:rFonts w:asciiTheme="minorHAnsi" w:hAnsiTheme="minorHAnsi"/>
          <w:sz w:val="24"/>
          <w:lang w:val="es-ES_tradnl"/>
        </w:rPr>
      </w:pPr>
      <w:bookmarkStart w:id="47" w:name="_Toc498519491"/>
      <w:r w:rsidRPr="00A5517D">
        <w:rPr>
          <w:rFonts w:asciiTheme="minorHAnsi" w:hAnsiTheme="minorHAnsi"/>
          <w:sz w:val="24"/>
          <w:lang w:val="es-ES_tradnl"/>
        </w:rPr>
        <w:t>Montos anuales de gastos de operación y mantenimiento.</w:t>
      </w:r>
      <w:bookmarkEnd w:id="47"/>
    </w:p>
    <w:p w:rsidR="00240CEE" w:rsidRPr="005E651A" w:rsidRDefault="005E651A" w:rsidP="005E651A">
      <w:pPr>
        <w:pStyle w:val="Ttulo2"/>
        <w:rPr>
          <w:rFonts w:asciiTheme="minorHAnsi" w:hAnsiTheme="minorHAnsi" w:cstheme="minorHAnsi"/>
          <w:b/>
          <w:color w:val="auto"/>
          <w:sz w:val="22"/>
        </w:rPr>
      </w:pPr>
      <w:bookmarkStart w:id="48" w:name="_Toc498519492"/>
      <w:r w:rsidRPr="005E651A">
        <w:rPr>
          <w:rFonts w:asciiTheme="minorHAnsi" w:hAnsiTheme="minorHAnsi" w:cstheme="minorHAnsi"/>
          <w:b/>
          <w:color w:val="auto"/>
          <w:sz w:val="22"/>
        </w:rPr>
        <w:t xml:space="preserve">a) </w:t>
      </w:r>
      <w:r w:rsidR="00240CEE" w:rsidRPr="005E651A">
        <w:rPr>
          <w:rFonts w:asciiTheme="minorHAnsi" w:hAnsiTheme="minorHAnsi" w:cstheme="minorHAnsi"/>
          <w:b/>
          <w:color w:val="auto"/>
          <w:sz w:val="22"/>
        </w:rPr>
        <w:t>Costos de operación.</w:t>
      </w:r>
      <w:bookmarkEnd w:id="48"/>
    </w:p>
    <w:p w:rsidR="005E651A" w:rsidRDefault="00240CEE" w:rsidP="00240CEE">
      <w:pPr>
        <w:jc w:val="both"/>
        <w:rPr>
          <w:lang w:val="es-ES_tradnl"/>
        </w:rPr>
      </w:pPr>
      <w:r w:rsidRPr="00240CEE">
        <w:rPr>
          <w:lang w:val="es-ES_tradnl"/>
        </w:rPr>
        <w:t xml:space="preserve">Los costos de operación son indispensables para el desarrollo de las actividades del proyecto, en este caso, los principales costos de operación en el libramiento serán la mano de obra de los operarios de la vía.  Para primer año de operación del proyecto este costo es mayor al de los años subsecuentes, ya que el ferrocarril recorrerá más kilómetros en el primer año de operación al tener que entrar de Los Toros al centro de Tapachula cada cuatro días para descargar combustible en las instalaciones de Pemex.  </w:t>
      </w:r>
    </w:p>
    <w:p w:rsidR="002B3FD4" w:rsidRDefault="002B3FD4" w:rsidP="00240CEE">
      <w:pPr>
        <w:jc w:val="both"/>
        <w:rPr>
          <w:lang w:val="es-ES_tradnl"/>
        </w:rPr>
      </w:pPr>
    </w:p>
    <w:p w:rsidR="002B3FD4" w:rsidRDefault="002B3FD4" w:rsidP="00240CEE">
      <w:pPr>
        <w:jc w:val="both"/>
        <w:rPr>
          <w:lang w:val="es-ES_tradnl"/>
        </w:rPr>
      </w:pPr>
    </w:p>
    <w:p w:rsidR="002B3FD4" w:rsidRDefault="002B3FD4" w:rsidP="00240CEE">
      <w:pPr>
        <w:jc w:val="both"/>
        <w:rPr>
          <w:lang w:val="es-ES_tradnl"/>
        </w:rPr>
      </w:pPr>
    </w:p>
    <w:p w:rsidR="002B3FD4" w:rsidRDefault="002B3FD4" w:rsidP="00240CEE">
      <w:pPr>
        <w:jc w:val="both"/>
        <w:rPr>
          <w:lang w:val="es-ES_tradnl"/>
        </w:rPr>
      </w:pPr>
    </w:p>
    <w:p w:rsidR="002B3FD4" w:rsidRPr="002B3FD4" w:rsidRDefault="002B3FD4" w:rsidP="002B3FD4">
      <w:pPr>
        <w:pStyle w:val="Ttulo3"/>
        <w:ind w:left="-5"/>
        <w:jc w:val="center"/>
        <w:rPr>
          <w:color w:val="auto"/>
          <w:sz w:val="20"/>
          <w:szCs w:val="20"/>
        </w:rPr>
      </w:pPr>
      <w:bookmarkStart w:id="49" w:name="_Toc498519493"/>
      <w:r w:rsidRPr="006467A4">
        <w:rPr>
          <w:color w:val="auto"/>
          <w:sz w:val="20"/>
          <w:szCs w:val="20"/>
        </w:rPr>
        <w:lastRenderedPageBreak/>
        <w:t>Tabla</w:t>
      </w:r>
      <w:r>
        <w:rPr>
          <w:color w:val="auto"/>
          <w:sz w:val="20"/>
          <w:szCs w:val="20"/>
        </w:rPr>
        <w:t xml:space="preserve"> 15. Gastos de operación</w:t>
      </w:r>
      <w:r w:rsidRPr="006467A4">
        <w:rPr>
          <w:color w:val="auto"/>
          <w:sz w:val="20"/>
          <w:szCs w:val="20"/>
        </w:rPr>
        <w:t xml:space="preserve"> Ex Post (a precios de 2017)</w:t>
      </w:r>
      <w:r>
        <w:rPr>
          <w:color w:val="auto"/>
          <w:sz w:val="20"/>
          <w:szCs w:val="20"/>
        </w:rPr>
        <w:t>.</w:t>
      </w:r>
      <w:bookmarkEnd w:id="49"/>
    </w:p>
    <w:tbl>
      <w:tblPr>
        <w:tblW w:w="0" w:type="auto"/>
        <w:jc w:val="center"/>
        <w:tblCellMar>
          <w:left w:w="70" w:type="dxa"/>
          <w:right w:w="70" w:type="dxa"/>
        </w:tblCellMar>
        <w:tblLook w:val="04A0" w:firstRow="1" w:lastRow="0" w:firstColumn="1" w:lastColumn="0" w:noHBand="0" w:noVBand="1"/>
      </w:tblPr>
      <w:tblGrid>
        <w:gridCol w:w="7690"/>
        <w:gridCol w:w="1514"/>
      </w:tblGrid>
      <w:tr w:rsidR="005E651A" w:rsidRPr="005E651A" w:rsidTr="005E651A">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5E651A" w:rsidRPr="005E651A" w:rsidRDefault="005E651A" w:rsidP="005E651A">
            <w:pPr>
              <w:spacing w:after="0" w:line="240" w:lineRule="auto"/>
              <w:jc w:val="center"/>
              <w:rPr>
                <w:rFonts w:ascii="Calibri" w:eastAsia="Times New Roman" w:hAnsi="Calibri" w:cs="Calibri"/>
                <w:b/>
                <w:bCs/>
                <w:color w:val="FFFFFF"/>
                <w:sz w:val="18"/>
                <w:lang w:eastAsia="es-MX"/>
              </w:rPr>
            </w:pPr>
            <w:r w:rsidRPr="005E651A">
              <w:rPr>
                <w:rFonts w:ascii="Calibri" w:eastAsia="Times New Roman" w:hAnsi="Calibri" w:cs="Calibri"/>
                <w:b/>
                <w:bCs/>
                <w:color w:val="FFFFFF"/>
                <w:sz w:val="18"/>
                <w:lang w:eastAsia="es-MX"/>
              </w:rPr>
              <w:t>Costos de Operación (pesos 2017)</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Longitud de los toros a PEMEX</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12.92</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Entrada y salida de </w:t>
            </w:r>
            <w:r w:rsidR="001700FE" w:rsidRPr="005E651A">
              <w:rPr>
                <w:rFonts w:ascii="Calibri" w:eastAsia="Times New Roman" w:hAnsi="Calibri" w:cs="Calibri"/>
                <w:color w:val="000000"/>
                <w:sz w:val="18"/>
                <w:lang w:eastAsia="es-MX"/>
              </w:rPr>
              <w:t>Tapachula</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25.84</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Longitud total</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36.94</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Semanas por año</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52</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Número de veces por semana que el ferrocarril descarga en PEMEX</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1.75</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de viajes con descarga en PEMEX</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25%</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de viajes que no descargan en PEMEX</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75%</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Costo de operación anual si PEMEX descargara diario combustible en </w:t>
            </w:r>
            <w:r w:rsidR="001700FE" w:rsidRPr="005E651A">
              <w:rPr>
                <w:rFonts w:ascii="Calibri" w:eastAsia="Times New Roman" w:hAnsi="Calibri" w:cs="Calibri"/>
                <w:color w:val="000000"/>
                <w:sz w:val="18"/>
                <w:lang w:eastAsia="es-MX"/>
              </w:rPr>
              <w:t>Tapachula</w:t>
            </w:r>
            <w:r w:rsidRPr="005E651A">
              <w:rPr>
                <w:rFonts w:ascii="Calibri" w:eastAsia="Times New Roman" w:hAnsi="Calibri" w:cs="Calibri"/>
                <w:color w:val="000000"/>
                <w:sz w:val="18"/>
                <w:lang w:eastAsia="es-MX"/>
              </w:rPr>
              <w:t xml:space="preserve"> ((11.1 km) + (12.9 km*2)*(Costo anual de manto. por km))</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6,780,464.79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Costo de operación anual si PEMEX  no descargara diario combustible en </w:t>
            </w:r>
            <w:r w:rsidR="001700FE" w:rsidRPr="005E651A">
              <w:rPr>
                <w:rFonts w:ascii="Calibri" w:eastAsia="Times New Roman" w:hAnsi="Calibri" w:cs="Calibri"/>
                <w:color w:val="000000"/>
                <w:sz w:val="18"/>
                <w:lang w:eastAsia="es-MX"/>
              </w:rPr>
              <w:t>Tapachula</w:t>
            </w:r>
            <w:r w:rsidRPr="005E651A">
              <w:rPr>
                <w:rFonts w:ascii="Calibri" w:eastAsia="Times New Roman" w:hAnsi="Calibri" w:cs="Calibri"/>
                <w:color w:val="000000"/>
                <w:sz w:val="18"/>
                <w:lang w:eastAsia="es-MX"/>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2,037,443.40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Libramiento de Tapachula (Km)</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11.1</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Gastos de operación anuales de la </w:t>
            </w:r>
            <w:r w:rsidR="001700FE" w:rsidRPr="005E651A">
              <w:rPr>
                <w:rFonts w:ascii="Calibri" w:eastAsia="Times New Roman" w:hAnsi="Calibri" w:cs="Calibri"/>
                <w:color w:val="000000"/>
                <w:sz w:val="18"/>
                <w:lang w:eastAsia="es-MX"/>
              </w:rPr>
              <w:t>línea</w:t>
            </w:r>
            <w:r w:rsidRPr="005E651A">
              <w:rPr>
                <w:rFonts w:ascii="Calibri" w:eastAsia="Times New Roman" w:hAnsi="Calibri" w:cs="Calibri"/>
                <w:color w:val="000000"/>
                <w:sz w:val="18"/>
                <w:lang w:eastAsia="es-MX"/>
              </w:rPr>
              <w:t xml:space="preserve"> Chiapas-Mayab</w:t>
            </w:r>
          </w:p>
        </w:tc>
        <w:tc>
          <w:tcPr>
            <w:tcW w:w="0" w:type="auto"/>
            <w:tcBorders>
              <w:top w:val="nil"/>
              <w:left w:val="nil"/>
              <w:bottom w:val="single" w:sz="4" w:space="0" w:color="auto"/>
              <w:right w:val="single" w:sz="4" w:space="0" w:color="auto"/>
            </w:tcBorders>
            <w:shd w:val="clear" w:color="auto" w:fill="auto"/>
            <w:noWrap/>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284,507,862.03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Longitud total de la </w:t>
            </w:r>
            <w:r w:rsidR="001700FE" w:rsidRPr="005E651A">
              <w:rPr>
                <w:rFonts w:ascii="Calibri" w:eastAsia="Times New Roman" w:hAnsi="Calibri" w:cs="Calibri"/>
                <w:color w:val="000000"/>
                <w:sz w:val="18"/>
                <w:lang w:eastAsia="es-MX"/>
              </w:rPr>
              <w:t>línea</w:t>
            </w:r>
            <w:r w:rsidRPr="005E651A">
              <w:rPr>
                <w:rFonts w:ascii="Calibri" w:eastAsia="Times New Roman" w:hAnsi="Calibri" w:cs="Calibri"/>
                <w:color w:val="000000"/>
                <w:sz w:val="18"/>
                <w:lang w:eastAsia="es-MX"/>
              </w:rPr>
              <w:t xml:space="preserve"> </w:t>
            </w:r>
            <w:r w:rsidRPr="005E651A">
              <w:rPr>
                <w:rFonts w:ascii="Calibri" w:eastAsia="Times New Roman" w:hAnsi="Calibri" w:cs="Calibri"/>
                <w:i/>
                <w:iCs/>
                <w:color w:val="000000"/>
                <w:sz w:val="18"/>
                <w:lang w:eastAsia="es-MX"/>
              </w:rPr>
              <w:t>(km)</w:t>
            </w:r>
          </w:p>
        </w:tc>
        <w:tc>
          <w:tcPr>
            <w:tcW w:w="0" w:type="auto"/>
            <w:tcBorders>
              <w:top w:val="nil"/>
              <w:left w:val="nil"/>
              <w:bottom w:val="single" w:sz="4" w:space="0" w:color="auto"/>
              <w:right w:val="single" w:sz="4" w:space="0" w:color="auto"/>
            </w:tcBorders>
            <w:shd w:val="clear" w:color="auto" w:fill="auto"/>
            <w:noWrap/>
            <w:vAlign w:val="center"/>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1,550</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Costo de operación anual por kilometro</w:t>
            </w:r>
          </w:p>
        </w:tc>
        <w:tc>
          <w:tcPr>
            <w:tcW w:w="0" w:type="auto"/>
            <w:tcBorders>
              <w:top w:val="nil"/>
              <w:left w:val="nil"/>
              <w:bottom w:val="single" w:sz="4" w:space="0" w:color="auto"/>
              <w:right w:val="single" w:sz="4" w:space="0" w:color="auto"/>
            </w:tcBorders>
            <w:shd w:val="clear" w:color="auto" w:fill="auto"/>
            <w:noWrap/>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183,553.46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Longitud de la vía actual en </w:t>
            </w:r>
            <w:r w:rsidR="001700FE" w:rsidRPr="005E651A">
              <w:rPr>
                <w:rFonts w:ascii="Calibri" w:eastAsia="Times New Roman" w:hAnsi="Calibri" w:cs="Calibri"/>
                <w:color w:val="000000"/>
                <w:sz w:val="18"/>
                <w:lang w:eastAsia="es-MX"/>
              </w:rPr>
              <w:t>Tapachula</w:t>
            </w:r>
            <w:r w:rsidRPr="005E651A">
              <w:rPr>
                <w:rFonts w:ascii="Calibri" w:eastAsia="Times New Roman" w:hAnsi="Calibri" w:cs="Calibri"/>
                <w:color w:val="000000"/>
                <w:sz w:val="18"/>
                <w:lang w:eastAsia="es-MX"/>
              </w:rPr>
              <w:t xml:space="preserve"> Chiapas </w:t>
            </w:r>
            <w:r w:rsidRPr="005E651A">
              <w:rPr>
                <w:rFonts w:ascii="Calibri" w:eastAsia="Times New Roman" w:hAnsi="Calibri" w:cs="Calibri"/>
                <w:i/>
                <w:iCs/>
                <w:color w:val="000000"/>
                <w:sz w:val="18"/>
                <w:lang w:eastAsia="es-MX"/>
              </w:rPr>
              <w:t>(km)</w:t>
            </w:r>
          </w:p>
        </w:tc>
        <w:tc>
          <w:tcPr>
            <w:tcW w:w="0" w:type="auto"/>
            <w:tcBorders>
              <w:top w:val="nil"/>
              <w:left w:val="nil"/>
              <w:bottom w:val="single" w:sz="4" w:space="0" w:color="auto"/>
              <w:right w:val="single" w:sz="4" w:space="0" w:color="auto"/>
            </w:tcBorders>
            <w:shd w:val="clear" w:color="auto" w:fill="auto"/>
            <w:noWrap/>
            <w:vAlign w:val="center"/>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23.75</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000000" w:fill="F2DCDB"/>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Costo de operación primer año</w:t>
            </w:r>
          </w:p>
        </w:tc>
        <w:tc>
          <w:tcPr>
            <w:tcW w:w="0" w:type="auto"/>
            <w:tcBorders>
              <w:top w:val="nil"/>
              <w:left w:val="nil"/>
              <w:bottom w:val="single" w:sz="4" w:space="0" w:color="auto"/>
              <w:right w:val="single" w:sz="4" w:space="0" w:color="auto"/>
            </w:tcBorders>
            <w:shd w:val="clear" w:color="000000" w:fill="F2DCDB"/>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3,223,198.75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000000" w:fill="F2DCDB"/>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Costo de operación anual</w:t>
            </w:r>
          </w:p>
        </w:tc>
        <w:tc>
          <w:tcPr>
            <w:tcW w:w="0" w:type="auto"/>
            <w:tcBorders>
              <w:top w:val="nil"/>
              <w:left w:val="nil"/>
              <w:bottom w:val="single" w:sz="4" w:space="0" w:color="auto"/>
              <w:right w:val="single" w:sz="4" w:space="0" w:color="auto"/>
            </w:tcBorders>
            <w:shd w:val="clear" w:color="000000" w:fill="F2DCDB"/>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2,037,443.40 </w:t>
            </w:r>
          </w:p>
        </w:tc>
      </w:tr>
    </w:tbl>
    <w:p w:rsidR="005E651A" w:rsidRPr="002B3FD4" w:rsidRDefault="002B3FD4" w:rsidP="002B3FD4">
      <w:pPr>
        <w:ind w:right="-376"/>
        <w:jc w:val="center"/>
        <w:rPr>
          <w:sz w:val="18"/>
          <w:szCs w:val="18"/>
          <w:lang w:eastAsia="en-AU"/>
        </w:rPr>
      </w:pPr>
      <w:r w:rsidRPr="006467A4">
        <w:rPr>
          <w:sz w:val="18"/>
          <w:szCs w:val="18"/>
          <w:lang w:eastAsia="en-AU"/>
        </w:rPr>
        <w:t>Fuente: Elaboración propia con datos de Ferrocarril del Ist</w:t>
      </w:r>
      <w:r>
        <w:rPr>
          <w:sz w:val="18"/>
          <w:szCs w:val="18"/>
          <w:lang w:eastAsia="en-AU"/>
        </w:rPr>
        <w:t>mo de Tehuantepec, S.A. de C.V.</w:t>
      </w:r>
    </w:p>
    <w:p w:rsidR="00240CEE" w:rsidRPr="005E651A" w:rsidRDefault="005E651A" w:rsidP="005E651A">
      <w:pPr>
        <w:pStyle w:val="Ttulo2"/>
        <w:rPr>
          <w:rFonts w:asciiTheme="minorHAnsi" w:hAnsiTheme="minorHAnsi" w:cstheme="minorHAnsi"/>
          <w:b/>
          <w:color w:val="auto"/>
          <w:sz w:val="22"/>
        </w:rPr>
      </w:pPr>
      <w:bookmarkStart w:id="50" w:name="_Toc498519494"/>
      <w:r w:rsidRPr="005E651A">
        <w:rPr>
          <w:rFonts w:asciiTheme="minorHAnsi" w:hAnsiTheme="minorHAnsi" w:cstheme="minorHAnsi"/>
          <w:b/>
          <w:color w:val="auto"/>
          <w:sz w:val="22"/>
        </w:rPr>
        <w:t xml:space="preserve">b) </w:t>
      </w:r>
      <w:r w:rsidR="00240CEE" w:rsidRPr="005E651A">
        <w:rPr>
          <w:rFonts w:asciiTheme="minorHAnsi" w:hAnsiTheme="minorHAnsi" w:cstheme="minorHAnsi"/>
          <w:b/>
          <w:color w:val="auto"/>
          <w:sz w:val="22"/>
        </w:rPr>
        <w:t>Costos de mantenimiento</w:t>
      </w:r>
      <w:r>
        <w:rPr>
          <w:rFonts w:asciiTheme="minorHAnsi" w:hAnsiTheme="minorHAnsi" w:cstheme="minorHAnsi"/>
          <w:b/>
          <w:color w:val="auto"/>
          <w:sz w:val="22"/>
        </w:rPr>
        <w:t>.</w:t>
      </w:r>
      <w:bookmarkEnd w:id="50"/>
    </w:p>
    <w:p w:rsidR="005E651A" w:rsidRDefault="00240CEE" w:rsidP="00240CEE">
      <w:pPr>
        <w:jc w:val="both"/>
        <w:rPr>
          <w:lang w:val="es-ES_tradnl"/>
        </w:rPr>
      </w:pPr>
      <w:r w:rsidRPr="00240CEE">
        <w:rPr>
          <w:lang w:val="es-ES_tradnl"/>
        </w:rPr>
        <w:t>Esta clase de costos, también son de gran importancia, ya que gracias a ellos la vida útil de las vías se extiende por varios años más. Es importante señalar que debido a las características técnicas de la vía, el costo de mantenimiento se realizará cada cinco años, siendo el principal concepto dentro de esta acti</w:t>
      </w:r>
      <w:r w:rsidR="005E651A">
        <w:rPr>
          <w:lang w:val="es-ES_tradnl"/>
        </w:rPr>
        <w:t>vidad, el cambio de fijaciones; es importante señalar que el libramiento de Tapachula empezó a operar en 2014 por lo que en la evaluación al año actual 2017 no se ha llevado a cabo mantenimiento en la vía.</w:t>
      </w:r>
    </w:p>
    <w:p w:rsidR="00A5517D" w:rsidRDefault="00240CEE" w:rsidP="00240CEE">
      <w:pPr>
        <w:jc w:val="both"/>
        <w:rPr>
          <w:lang w:val="es-ES_tradnl"/>
        </w:rPr>
      </w:pPr>
      <w:r w:rsidRPr="00240CEE">
        <w:rPr>
          <w:lang w:val="es-ES_tradnl"/>
        </w:rPr>
        <w:t xml:space="preserve">A continuación se muestra el costo anual de mantenimiento por los 11.1 </w:t>
      </w:r>
      <w:proofErr w:type="spellStart"/>
      <w:r w:rsidRPr="00240CEE">
        <w:rPr>
          <w:lang w:val="es-ES_tradnl"/>
        </w:rPr>
        <w:t>Kms</w:t>
      </w:r>
      <w:proofErr w:type="spellEnd"/>
      <w:r w:rsidRPr="00240CEE">
        <w:rPr>
          <w:lang w:val="es-ES_tradnl"/>
        </w:rPr>
        <w:t>. de longitud del proyecto.</w:t>
      </w:r>
    </w:p>
    <w:p w:rsidR="002B3FD4" w:rsidRPr="002B3FD4" w:rsidRDefault="002B3FD4" w:rsidP="002B3FD4">
      <w:pPr>
        <w:pStyle w:val="Ttulo3"/>
        <w:ind w:left="-5"/>
        <w:jc w:val="center"/>
        <w:rPr>
          <w:color w:val="auto"/>
          <w:sz w:val="20"/>
          <w:szCs w:val="20"/>
        </w:rPr>
      </w:pPr>
      <w:bookmarkStart w:id="51" w:name="_Toc498519495"/>
      <w:r w:rsidRPr="006467A4">
        <w:rPr>
          <w:color w:val="auto"/>
          <w:sz w:val="20"/>
          <w:szCs w:val="20"/>
        </w:rPr>
        <w:t>Tabla</w:t>
      </w:r>
      <w:r>
        <w:rPr>
          <w:color w:val="auto"/>
          <w:sz w:val="20"/>
          <w:szCs w:val="20"/>
        </w:rPr>
        <w:t xml:space="preserve"> 16. Gastos de mantenimiento</w:t>
      </w:r>
      <w:r w:rsidRPr="006467A4">
        <w:rPr>
          <w:color w:val="auto"/>
          <w:sz w:val="20"/>
          <w:szCs w:val="20"/>
        </w:rPr>
        <w:t xml:space="preserve"> Ex Post (a precios de 2017)</w:t>
      </w:r>
      <w:r>
        <w:rPr>
          <w:color w:val="auto"/>
          <w:sz w:val="20"/>
          <w:szCs w:val="20"/>
        </w:rPr>
        <w:t>.</w:t>
      </w:r>
      <w:bookmarkEnd w:id="51"/>
    </w:p>
    <w:tbl>
      <w:tblPr>
        <w:tblW w:w="0" w:type="auto"/>
        <w:jc w:val="center"/>
        <w:tblCellMar>
          <w:left w:w="70" w:type="dxa"/>
          <w:right w:w="70" w:type="dxa"/>
        </w:tblCellMar>
        <w:tblLook w:val="04A0" w:firstRow="1" w:lastRow="0" w:firstColumn="1" w:lastColumn="0" w:noHBand="0" w:noVBand="1"/>
      </w:tblPr>
      <w:tblGrid>
        <w:gridCol w:w="4369"/>
        <w:gridCol w:w="1327"/>
      </w:tblGrid>
      <w:tr w:rsidR="005E651A" w:rsidRPr="005E651A" w:rsidTr="005E651A">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C00000"/>
            <w:noWrap/>
            <w:vAlign w:val="bottom"/>
            <w:hideMark/>
          </w:tcPr>
          <w:p w:rsidR="005E651A" w:rsidRPr="005E651A" w:rsidRDefault="005E651A" w:rsidP="005E651A">
            <w:pPr>
              <w:spacing w:after="0" w:line="240" w:lineRule="auto"/>
              <w:jc w:val="center"/>
              <w:rPr>
                <w:rFonts w:ascii="Calibri" w:eastAsia="Times New Roman" w:hAnsi="Calibri" w:cs="Calibri"/>
                <w:b/>
                <w:bCs/>
                <w:color w:val="FFFFFF"/>
                <w:sz w:val="18"/>
                <w:lang w:eastAsia="es-MX"/>
              </w:rPr>
            </w:pPr>
            <w:r w:rsidRPr="005E651A">
              <w:rPr>
                <w:rFonts w:ascii="Calibri" w:eastAsia="Times New Roman" w:hAnsi="Calibri" w:cs="Calibri"/>
                <w:b/>
                <w:bCs/>
                <w:color w:val="FFFFFF"/>
                <w:sz w:val="18"/>
                <w:lang w:eastAsia="es-MX"/>
              </w:rPr>
              <w:t>Costo de Mantenimiento (pesos 20017)</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000000" w:fill="C00000"/>
            <w:noWrap/>
            <w:vAlign w:val="bottom"/>
            <w:hideMark/>
          </w:tcPr>
          <w:p w:rsidR="005E651A" w:rsidRPr="005E651A" w:rsidRDefault="005E651A" w:rsidP="005E651A">
            <w:pPr>
              <w:spacing w:after="0" w:line="240" w:lineRule="auto"/>
              <w:rPr>
                <w:rFonts w:ascii="Calibri" w:eastAsia="Times New Roman" w:hAnsi="Calibri" w:cs="Calibri"/>
                <w:b/>
                <w:bCs/>
                <w:color w:val="FFFFFF"/>
                <w:sz w:val="18"/>
                <w:lang w:eastAsia="es-MX"/>
              </w:rPr>
            </w:pPr>
            <w:r w:rsidRPr="005E651A">
              <w:rPr>
                <w:rFonts w:ascii="Calibri" w:eastAsia="Times New Roman" w:hAnsi="Calibri" w:cs="Calibri"/>
                <w:b/>
                <w:bCs/>
                <w:color w:val="FFFFFF"/>
                <w:sz w:val="18"/>
                <w:lang w:eastAsia="es-MX"/>
              </w:rPr>
              <w:t>Concepto</w:t>
            </w:r>
          </w:p>
        </w:tc>
        <w:tc>
          <w:tcPr>
            <w:tcW w:w="0" w:type="auto"/>
            <w:tcBorders>
              <w:top w:val="nil"/>
              <w:left w:val="nil"/>
              <w:bottom w:val="single" w:sz="4" w:space="0" w:color="auto"/>
              <w:right w:val="single" w:sz="4" w:space="0" w:color="auto"/>
            </w:tcBorders>
            <w:shd w:val="clear" w:color="000000" w:fill="C00000"/>
            <w:noWrap/>
            <w:vAlign w:val="bottom"/>
            <w:hideMark/>
          </w:tcPr>
          <w:p w:rsidR="005E651A" w:rsidRPr="005E651A" w:rsidRDefault="005E651A" w:rsidP="005E651A">
            <w:pPr>
              <w:spacing w:after="0" w:line="240" w:lineRule="auto"/>
              <w:rPr>
                <w:rFonts w:ascii="Calibri" w:eastAsia="Times New Roman" w:hAnsi="Calibri" w:cs="Calibri"/>
                <w:b/>
                <w:bCs/>
                <w:color w:val="FFFFFF"/>
                <w:sz w:val="18"/>
                <w:lang w:eastAsia="es-MX"/>
              </w:rPr>
            </w:pPr>
            <w:r w:rsidRPr="005E651A">
              <w:rPr>
                <w:rFonts w:ascii="Calibri" w:eastAsia="Times New Roman" w:hAnsi="Calibri" w:cs="Calibri"/>
                <w:b/>
                <w:bCs/>
                <w:color w:val="FFFFFF"/>
                <w:sz w:val="18"/>
                <w:lang w:eastAsia="es-MX"/>
              </w:rPr>
              <w:t>Monto</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Longitud del libramiento (Km)</w:t>
            </w:r>
          </w:p>
        </w:tc>
        <w:tc>
          <w:tcPr>
            <w:tcW w:w="0" w:type="auto"/>
            <w:tcBorders>
              <w:top w:val="nil"/>
              <w:left w:val="nil"/>
              <w:bottom w:val="single" w:sz="4" w:space="0" w:color="auto"/>
              <w:right w:val="single" w:sz="4" w:space="0" w:color="auto"/>
            </w:tcBorders>
            <w:shd w:val="clear" w:color="auto" w:fill="auto"/>
            <w:noWrap/>
            <w:vAlign w:val="center"/>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11.1</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Periodos con que se realiza el mantenimiento </w:t>
            </w:r>
            <w:r w:rsidRPr="005E651A">
              <w:rPr>
                <w:rFonts w:ascii="Calibri" w:eastAsia="Times New Roman" w:hAnsi="Calibri" w:cs="Calibri"/>
                <w:i/>
                <w:iCs/>
                <w:color w:val="000000"/>
                <w:sz w:val="18"/>
                <w:lang w:eastAsia="es-MX"/>
              </w:rPr>
              <w:t>(años)</w:t>
            </w:r>
          </w:p>
        </w:tc>
        <w:tc>
          <w:tcPr>
            <w:tcW w:w="0" w:type="auto"/>
            <w:tcBorders>
              <w:top w:val="nil"/>
              <w:left w:val="nil"/>
              <w:bottom w:val="single" w:sz="4" w:space="0" w:color="auto"/>
              <w:right w:val="single" w:sz="4" w:space="0" w:color="auto"/>
            </w:tcBorders>
            <w:shd w:val="clear" w:color="auto" w:fill="auto"/>
            <w:noWrap/>
            <w:vAlign w:val="center"/>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5</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Costo de mantenimiento por km  en un periodo de 5 años </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447,240.55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Costo anual por km de vía</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89,448.11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proofErr w:type="spellStart"/>
            <w:r w:rsidRPr="005E651A">
              <w:rPr>
                <w:rFonts w:ascii="Calibri" w:eastAsia="Times New Roman" w:hAnsi="Calibri" w:cs="Calibri"/>
                <w:color w:val="000000"/>
                <w:sz w:val="18"/>
                <w:lang w:eastAsia="es-MX"/>
              </w:rPr>
              <w:t>Kms</w:t>
            </w:r>
            <w:proofErr w:type="spellEnd"/>
            <w:r w:rsidRPr="005E651A">
              <w:rPr>
                <w:rFonts w:ascii="Calibri" w:eastAsia="Times New Roman" w:hAnsi="Calibri" w:cs="Calibri"/>
                <w:color w:val="000000"/>
                <w:sz w:val="18"/>
                <w:lang w:eastAsia="es-MX"/>
              </w:rPr>
              <w:t xml:space="preserve">. de vía en que operara el ferrocarril el </w:t>
            </w:r>
            <w:r w:rsidRPr="005E651A">
              <w:rPr>
                <w:rFonts w:ascii="Calibri" w:eastAsia="Times New Roman" w:hAnsi="Calibri" w:cs="Calibri"/>
                <w:i/>
                <w:iCs/>
                <w:color w:val="000000"/>
                <w:sz w:val="18"/>
                <w:lang w:eastAsia="es-MX"/>
              </w:rPr>
              <w:t>"Año 1"</w:t>
            </w:r>
          </w:p>
        </w:tc>
        <w:tc>
          <w:tcPr>
            <w:tcW w:w="0" w:type="auto"/>
            <w:tcBorders>
              <w:top w:val="nil"/>
              <w:left w:val="nil"/>
              <w:bottom w:val="single" w:sz="4" w:space="0" w:color="auto"/>
              <w:right w:val="single" w:sz="4" w:space="0" w:color="auto"/>
            </w:tcBorders>
            <w:shd w:val="clear" w:color="auto" w:fill="auto"/>
            <w:noWrap/>
            <w:vAlign w:val="center"/>
            <w:hideMark/>
          </w:tcPr>
          <w:p w:rsidR="005E651A" w:rsidRPr="005E651A" w:rsidRDefault="005E651A" w:rsidP="005E651A">
            <w:pPr>
              <w:spacing w:after="0" w:line="240" w:lineRule="auto"/>
              <w:jc w:val="right"/>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49.3</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Costo de operación anual </w:t>
            </w:r>
            <w:r w:rsidRPr="005E651A">
              <w:rPr>
                <w:rFonts w:ascii="Calibri" w:eastAsia="Times New Roman" w:hAnsi="Calibri" w:cs="Calibri"/>
                <w:i/>
                <w:iCs/>
                <w:color w:val="000000"/>
                <w:sz w:val="18"/>
                <w:lang w:eastAsia="es-MX"/>
              </w:rPr>
              <w:t>"Año 1"</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3,304,213.20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Costo de operación anual </w:t>
            </w:r>
            <w:r w:rsidRPr="005E651A">
              <w:rPr>
                <w:rFonts w:ascii="Calibri" w:eastAsia="Times New Roman" w:hAnsi="Calibri" w:cs="Calibri"/>
                <w:i/>
                <w:iCs/>
                <w:color w:val="000000"/>
                <w:sz w:val="18"/>
                <w:lang w:eastAsia="es-MX"/>
              </w:rPr>
              <w:t>"Año 2" en adelante</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992,874.03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Costo de operación por periodos de</w:t>
            </w:r>
            <w:r w:rsidRPr="005E651A">
              <w:rPr>
                <w:rFonts w:ascii="Calibri" w:eastAsia="Times New Roman" w:hAnsi="Calibri" w:cs="Calibri"/>
                <w:i/>
                <w:iCs/>
                <w:color w:val="000000"/>
                <w:sz w:val="18"/>
                <w:lang w:eastAsia="es-MX"/>
              </w:rPr>
              <w:t xml:space="preserve"> 5 años</w:t>
            </w:r>
          </w:p>
        </w:tc>
        <w:tc>
          <w:tcPr>
            <w:tcW w:w="0" w:type="auto"/>
            <w:tcBorders>
              <w:top w:val="nil"/>
              <w:left w:val="nil"/>
              <w:bottom w:val="single" w:sz="4" w:space="0" w:color="auto"/>
              <w:right w:val="single" w:sz="4" w:space="0" w:color="auto"/>
            </w:tcBorders>
            <w:shd w:val="clear" w:color="auto" w:fill="auto"/>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4,964,370.14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000000" w:fill="F2DCDB"/>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Costo Mantenimiento primeros 5 años</w:t>
            </w:r>
          </w:p>
        </w:tc>
        <w:tc>
          <w:tcPr>
            <w:tcW w:w="0" w:type="auto"/>
            <w:tcBorders>
              <w:top w:val="nil"/>
              <w:left w:val="nil"/>
              <w:bottom w:val="single" w:sz="4" w:space="0" w:color="auto"/>
              <w:right w:val="single" w:sz="4" w:space="0" w:color="auto"/>
            </w:tcBorders>
            <w:shd w:val="clear" w:color="000000" w:fill="F2DCDB"/>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7,275,709.31 </w:t>
            </w:r>
          </w:p>
        </w:tc>
      </w:tr>
      <w:tr w:rsidR="005E651A" w:rsidRPr="005E651A" w:rsidTr="005E651A">
        <w:trPr>
          <w:trHeight w:val="20"/>
          <w:jc w:val="center"/>
        </w:trPr>
        <w:tc>
          <w:tcPr>
            <w:tcW w:w="0" w:type="auto"/>
            <w:tcBorders>
              <w:top w:val="nil"/>
              <w:left w:val="single" w:sz="4" w:space="0" w:color="auto"/>
              <w:bottom w:val="single" w:sz="4" w:space="0" w:color="auto"/>
              <w:right w:val="single" w:sz="4" w:space="0" w:color="auto"/>
            </w:tcBorders>
            <w:shd w:val="clear" w:color="000000" w:fill="F2DCDB"/>
            <w:vAlign w:val="center"/>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Costo mantenimiento cada 5 años</w:t>
            </w:r>
          </w:p>
        </w:tc>
        <w:tc>
          <w:tcPr>
            <w:tcW w:w="0" w:type="auto"/>
            <w:tcBorders>
              <w:top w:val="nil"/>
              <w:left w:val="nil"/>
              <w:bottom w:val="single" w:sz="4" w:space="0" w:color="auto"/>
              <w:right w:val="single" w:sz="4" w:space="0" w:color="auto"/>
            </w:tcBorders>
            <w:shd w:val="clear" w:color="000000" w:fill="F2DCDB"/>
            <w:noWrap/>
            <w:vAlign w:val="bottom"/>
            <w:hideMark/>
          </w:tcPr>
          <w:p w:rsidR="005E651A" w:rsidRPr="005E651A" w:rsidRDefault="005E651A" w:rsidP="005E651A">
            <w:pPr>
              <w:spacing w:after="0" w:line="240" w:lineRule="auto"/>
              <w:rPr>
                <w:rFonts w:ascii="Calibri" w:eastAsia="Times New Roman" w:hAnsi="Calibri" w:cs="Calibri"/>
                <w:color w:val="000000"/>
                <w:sz w:val="18"/>
                <w:lang w:eastAsia="es-MX"/>
              </w:rPr>
            </w:pPr>
            <w:r w:rsidRPr="005E651A">
              <w:rPr>
                <w:rFonts w:ascii="Calibri" w:eastAsia="Times New Roman" w:hAnsi="Calibri" w:cs="Calibri"/>
                <w:color w:val="000000"/>
                <w:sz w:val="18"/>
                <w:lang w:eastAsia="es-MX"/>
              </w:rPr>
              <w:t xml:space="preserve"> $  4,964,370.14 </w:t>
            </w:r>
          </w:p>
        </w:tc>
      </w:tr>
    </w:tbl>
    <w:p w:rsidR="005E651A" w:rsidRPr="002B3FD4" w:rsidRDefault="002B3FD4" w:rsidP="002B3FD4">
      <w:pPr>
        <w:ind w:right="-376"/>
        <w:jc w:val="center"/>
        <w:rPr>
          <w:sz w:val="18"/>
          <w:szCs w:val="18"/>
          <w:lang w:eastAsia="en-AU"/>
        </w:rPr>
      </w:pPr>
      <w:r w:rsidRPr="006467A4">
        <w:rPr>
          <w:sz w:val="18"/>
          <w:szCs w:val="18"/>
          <w:lang w:eastAsia="en-AU"/>
        </w:rPr>
        <w:t>Fuente: Elaboración propia con datos de Ferrocarril del Ist</w:t>
      </w:r>
      <w:r>
        <w:rPr>
          <w:sz w:val="18"/>
          <w:szCs w:val="18"/>
          <w:lang w:eastAsia="en-AU"/>
        </w:rPr>
        <w:t>mo de Tehuantepec, S.A. de C.V.</w:t>
      </w:r>
    </w:p>
    <w:p w:rsidR="00A5517D" w:rsidRDefault="00A5517D" w:rsidP="00A5517D">
      <w:pPr>
        <w:pStyle w:val="Ttulo1"/>
        <w:numPr>
          <w:ilvl w:val="0"/>
          <w:numId w:val="6"/>
        </w:numPr>
        <w:ind w:right="-376" w:hanging="76"/>
        <w:rPr>
          <w:rFonts w:asciiTheme="minorHAnsi" w:hAnsiTheme="minorHAnsi"/>
          <w:sz w:val="24"/>
          <w:lang w:val="es-ES_tradnl"/>
        </w:rPr>
      </w:pPr>
      <w:bookmarkStart w:id="52" w:name="_Toc498519496"/>
      <w:r w:rsidRPr="00A5517D">
        <w:rPr>
          <w:rFonts w:asciiTheme="minorHAnsi" w:hAnsiTheme="minorHAnsi"/>
          <w:sz w:val="24"/>
          <w:lang w:val="es-ES_tradnl"/>
        </w:rPr>
        <w:t>Costos socioeconómicos.</w:t>
      </w:r>
      <w:bookmarkEnd w:id="52"/>
    </w:p>
    <w:p w:rsidR="00FA43AD" w:rsidRDefault="00FA43AD" w:rsidP="00FA43AD">
      <w:pPr>
        <w:spacing w:before="240" w:line="288" w:lineRule="auto"/>
        <w:jc w:val="both"/>
        <w:rPr>
          <w:lang w:eastAsia="en-AU"/>
        </w:rPr>
      </w:pPr>
      <w:r w:rsidRPr="00FA43AD">
        <w:rPr>
          <w:lang w:eastAsia="en-AU"/>
        </w:rPr>
        <w:t>Los costos atribuibles al proyecto se refieren primordialmente a los costos de construcción del libramiento, así como a la adquisición de los derechos de vía del nuevo trazo, como se mostró en el capítulo correspondiente a la descripción del proyecto. El resumen de los costos de construcción a precios de mercado se muestra en el siguiente cuadro.</w:t>
      </w:r>
    </w:p>
    <w:p w:rsidR="00FA43AD" w:rsidRPr="00240CEE" w:rsidRDefault="00FA43AD" w:rsidP="00240CEE">
      <w:pPr>
        <w:pStyle w:val="Ttulo2"/>
        <w:rPr>
          <w:rFonts w:asciiTheme="minorHAnsi" w:hAnsiTheme="minorHAnsi" w:cstheme="minorHAnsi"/>
          <w:b/>
          <w:color w:val="auto"/>
          <w:sz w:val="22"/>
        </w:rPr>
      </w:pPr>
      <w:bookmarkStart w:id="53" w:name="_Toc498519497"/>
      <w:r w:rsidRPr="00FA43AD">
        <w:rPr>
          <w:rFonts w:asciiTheme="minorHAnsi" w:hAnsiTheme="minorHAnsi" w:cstheme="minorHAnsi"/>
          <w:b/>
          <w:color w:val="auto"/>
          <w:sz w:val="22"/>
        </w:rPr>
        <w:lastRenderedPageBreak/>
        <w:t>a) Costos de adquisición de materiales de vía</w:t>
      </w:r>
      <w:r>
        <w:rPr>
          <w:rFonts w:asciiTheme="minorHAnsi" w:hAnsiTheme="minorHAnsi" w:cstheme="minorHAnsi"/>
          <w:b/>
          <w:color w:val="auto"/>
          <w:sz w:val="22"/>
        </w:rPr>
        <w:t>.</w:t>
      </w:r>
      <w:bookmarkEnd w:id="53"/>
    </w:p>
    <w:p w:rsidR="00FA43AD" w:rsidRPr="00FA43AD" w:rsidRDefault="00FA43AD" w:rsidP="00FA43AD">
      <w:pPr>
        <w:spacing w:before="240" w:line="288" w:lineRule="auto"/>
        <w:jc w:val="both"/>
        <w:rPr>
          <w:lang w:eastAsia="en-AU"/>
        </w:rPr>
      </w:pPr>
      <w:r>
        <w:rPr>
          <w:lang w:eastAsia="en-AU"/>
        </w:rPr>
        <w:t xml:space="preserve">Para el ejercicio 2008 se registró en la Cartera de Programas y Proyectos de Inversión proyecto con clave 0709J3L0001, correspondiente a la Reconstrucción de la Costa de Chiapas y Rehabilitación de la Línea Férrea del Mayab. Sin embargo a solicitud del Gobierno del Estado de Chiapas la Secretaría de Comunicaciones y Transportes consideró un trazo distinto para conectar la vía actual entre el Km 407+250 aprox. al Km 431 aprox. es decir de un total de 23.75 km, por un trazo nuevo de entre 11 y 12 km (Libramiento Ferroviario en Tapachula), motivo por el cual únicamente fue posible adquirir durante el ejercicio 2008, lo correspondiente a los materiales de vía por un monto de 64.4 millones de pesos con cargo al proyecto registrado; no obstante lo anterior, para efectos de esta evaluación se consideraron como parte del costo total del proyecto.  </w:t>
      </w:r>
    </w:p>
    <w:p w:rsidR="00FA43AD" w:rsidRPr="00FA43AD" w:rsidRDefault="00FA43AD" w:rsidP="00FA43AD">
      <w:pPr>
        <w:pStyle w:val="Ttulo2"/>
        <w:rPr>
          <w:rFonts w:asciiTheme="minorHAnsi" w:hAnsiTheme="minorHAnsi" w:cstheme="minorHAnsi"/>
          <w:b/>
          <w:color w:val="auto"/>
          <w:sz w:val="22"/>
        </w:rPr>
      </w:pPr>
      <w:bookmarkStart w:id="54" w:name="_Toc498519498"/>
      <w:r w:rsidRPr="00FA43AD">
        <w:rPr>
          <w:rFonts w:asciiTheme="minorHAnsi" w:hAnsiTheme="minorHAnsi" w:cstheme="minorHAnsi"/>
          <w:b/>
          <w:color w:val="auto"/>
          <w:sz w:val="22"/>
        </w:rPr>
        <w:t>b) Costos de adquisición de derechos de vía</w:t>
      </w:r>
      <w:r>
        <w:rPr>
          <w:rFonts w:asciiTheme="minorHAnsi" w:hAnsiTheme="minorHAnsi" w:cstheme="minorHAnsi"/>
          <w:b/>
          <w:color w:val="auto"/>
          <w:sz w:val="22"/>
        </w:rPr>
        <w:t>.</w:t>
      </w:r>
      <w:bookmarkEnd w:id="54"/>
    </w:p>
    <w:p w:rsidR="00A5517D" w:rsidRDefault="00FA43AD" w:rsidP="00FA43AD">
      <w:pPr>
        <w:jc w:val="both"/>
        <w:rPr>
          <w:lang w:val="es-ES_tradnl"/>
        </w:rPr>
      </w:pPr>
      <w:r w:rsidRPr="00FA43AD">
        <w:rPr>
          <w:lang w:val="es-ES_tradnl"/>
        </w:rPr>
        <w:t>La Secretaria de Transporte del Estado de Chiapas señaló que el importe del presupuesto para la Adquisición de los Derechos de vía es de 15 millones de pesos, cantidad considerada para la elaboración del estudio.</w:t>
      </w:r>
    </w:p>
    <w:p w:rsidR="00FA43AD" w:rsidRPr="00FA43AD" w:rsidRDefault="00FA43AD" w:rsidP="00FA43AD">
      <w:pPr>
        <w:pStyle w:val="Ttulo2"/>
        <w:rPr>
          <w:rFonts w:asciiTheme="minorHAnsi" w:hAnsiTheme="minorHAnsi" w:cstheme="minorHAnsi"/>
          <w:b/>
          <w:color w:val="auto"/>
          <w:sz w:val="22"/>
        </w:rPr>
      </w:pPr>
      <w:bookmarkStart w:id="55" w:name="_Toc498519499"/>
      <w:r w:rsidRPr="00FA43AD">
        <w:rPr>
          <w:rFonts w:asciiTheme="minorHAnsi" w:hAnsiTheme="minorHAnsi" w:cstheme="minorHAnsi"/>
          <w:b/>
          <w:color w:val="auto"/>
          <w:sz w:val="22"/>
        </w:rPr>
        <w:t>c) Costos por levantamiento de vías y pavimentación en los cruces con vialidades</w:t>
      </w:r>
      <w:r>
        <w:rPr>
          <w:rFonts w:asciiTheme="minorHAnsi" w:hAnsiTheme="minorHAnsi" w:cstheme="minorHAnsi"/>
          <w:b/>
          <w:color w:val="auto"/>
          <w:sz w:val="22"/>
        </w:rPr>
        <w:t>.</w:t>
      </w:r>
      <w:bookmarkEnd w:id="55"/>
    </w:p>
    <w:p w:rsidR="00FA43AD" w:rsidRPr="00FA43AD" w:rsidRDefault="00FA43AD" w:rsidP="00FA43AD">
      <w:pPr>
        <w:jc w:val="both"/>
        <w:rPr>
          <w:lang w:val="es-ES_tradnl"/>
        </w:rPr>
      </w:pPr>
      <w:r w:rsidRPr="00FA43AD">
        <w:rPr>
          <w:lang w:val="es-ES_tradnl"/>
        </w:rPr>
        <w:t>Para la evaluación del proyecto se consideró el costo que tendría el levantamiento de las vías del tren en las vialidades por donde cruza el ferrocarril dentro de la ciudad de Tapachula, así como, la pavimentación de la calles en dichos tramos.</w:t>
      </w:r>
    </w:p>
    <w:p w:rsidR="00FA43AD" w:rsidRPr="00FA43AD" w:rsidRDefault="00FA43AD" w:rsidP="00FA43AD">
      <w:pPr>
        <w:jc w:val="both"/>
        <w:rPr>
          <w:lang w:val="es-ES_tradnl"/>
        </w:rPr>
      </w:pPr>
      <w:r w:rsidRPr="00FA43AD">
        <w:rPr>
          <w:lang w:val="es-ES_tradnl"/>
        </w:rPr>
        <w:t xml:space="preserve">Se consideró una distancia de 50 metros lineales por el levantamiento de las vías en cada una de las calles 8ª, 6ª, 4ª, 5ª Sur y 20 </w:t>
      </w:r>
      <w:proofErr w:type="spellStart"/>
      <w:r w:rsidRPr="00FA43AD">
        <w:rPr>
          <w:lang w:val="es-ES_tradnl"/>
        </w:rPr>
        <w:t>Pte</w:t>
      </w:r>
      <w:proofErr w:type="spellEnd"/>
      <w:r w:rsidRPr="00FA43AD">
        <w:rPr>
          <w:lang w:val="es-ES_tradnl"/>
        </w:rPr>
        <w:t xml:space="preserve">, y de 100 metros lineales en el entronque vehicular formado por las calles de 9ª, 7ª Sur y 28 </w:t>
      </w:r>
      <w:proofErr w:type="spellStart"/>
      <w:r w:rsidRPr="00FA43AD">
        <w:rPr>
          <w:lang w:val="es-ES_tradnl"/>
        </w:rPr>
        <w:t>Ote</w:t>
      </w:r>
      <w:proofErr w:type="spellEnd"/>
      <w:r w:rsidRPr="00FA43AD">
        <w:rPr>
          <w:lang w:val="es-ES_tradnl"/>
        </w:rPr>
        <w:t xml:space="preserve">.  Asimismo, se consideró una pavimentación total de los cruces con vialidades de 2,088 m2.  </w:t>
      </w:r>
    </w:p>
    <w:p w:rsidR="00A5517D" w:rsidRDefault="00FA43AD" w:rsidP="00FA43AD">
      <w:pPr>
        <w:jc w:val="both"/>
        <w:rPr>
          <w:lang w:val="es-ES_tradnl"/>
        </w:rPr>
      </w:pPr>
      <w:r w:rsidRPr="00FA43AD">
        <w:rPr>
          <w:lang w:val="es-ES_tradnl"/>
        </w:rPr>
        <w:t>Los datos de los costos utilizados en este cálculo se tomaron del presupuesto de construcción del proyecto de vía rápida paralela a las vías del F.F.C.C., el cual fue proporcionado por la Dirección de Control Urbano del municipio de Tapachula. Los costos por la eliminación de las vías, pavimentación, banquetas circundantes y señalamiento horizontal se presentan en el siguiente cuadro:</w:t>
      </w:r>
    </w:p>
    <w:p w:rsidR="00A5517D" w:rsidRDefault="00A5517D" w:rsidP="00A5517D">
      <w:pPr>
        <w:pStyle w:val="Ttulo1"/>
        <w:numPr>
          <w:ilvl w:val="0"/>
          <w:numId w:val="6"/>
        </w:numPr>
        <w:ind w:right="-376" w:hanging="76"/>
        <w:rPr>
          <w:rFonts w:asciiTheme="minorHAnsi" w:hAnsiTheme="minorHAnsi"/>
          <w:sz w:val="24"/>
          <w:lang w:val="es-ES_tradnl"/>
        </w:rPr>
      </w:pPr>
      <w:bookmarkStart w:id="56" w:name="_Toc498519500"/>
      <w:r w:rsidRPr="00A5517D">
        <w:rPr>
          <w:rFonts w:asciiTheme="minorHAnsi" w:hAnsiTheme="minorHAnsi"/>
          <w:sz w:val="24"/>
          <w:lang w:val="es-ES_tradnl"/>
        </w:rPr>
        <w:t>Beneficios socioeconómicos.</w:t>
      </w:r>
      <w:bookmarkEnd w:id="56"/>
    </w:p>
    <w:p w:rsidR="00FA43AD" w:rsidRPr="00FA43AD" w:rsidRDefault="00FA43AD" w:rsidP="00FA43AD">
      <w:pPr>
        <w:pStyle w:val="Ttulo2"/>
        <w:rPr>
          <w:rFonts w:asciiTheme="minorHAnsi" w:hAnsiTheme="minorHAnsi" w:cstheme="minorHAnsi"/>
          <w:b/>
          <w:color w:val="auto"/>
          <w:sz w:val="22"/>
        </w:rPr>
      </w:pPr>
      <w:bookmarkStart w:id="57" w:name="_Toc498519501"/>
      <w:r w:rsidRPr="00FA43AD">
        <w:rPr>
          <w:rFonts w:asciiTheme="minorHAnsi" w:hAnsiTheme="minorHAnsi" w:cstheme="minorHAnsi"/>
          <w:b/>
          <w:color w:val="auto"/>
          <w:sz w:val="22"/>
        </w:rPr>
        <w:t>a) Beneficio por ahorro en traslado de mercancías.</w:t>
      </w:r>
      <w:bookmarkEnd w:id="57"/>
    </w:p>
    <w:p w:rsidR="00FA43AD" w:rsidRDefault="00FA43AD" w:rsidP="00FA43AD">
      <w:pPr>
        <w:jc w:val="both"/>
        <w:rPr>
          <w:lang w:val="es-ES_tradnl"/>
        </w:rPr>
      </w:pPr>
      <w:r w:rsidRPr="00FA43AD">
        <w:rPr>
          <w:lang w:val="es-ES_tradnl"/>
        </w:rPr>
        <w:t xml:space="preserve">La longitud del tramo Tapachula comprende del km 407+250 al 431+000, lo que representa un distancia de 23.75 </w:t>
      </w:r>
      <w:proofErr w:type="spellStart"/>
      <w:r w:rsidRPr="00FA43AD">
        <w:rPr>
          <w:lang w:val="es-ES_tradnl"/>
        </w:rPr>
        <w:t>kms</w:t>
      </w:r>
      <w:proofErr w:type="spellEnd"/>
      <w:r w:rsidRPr="00FA43AD">
        <w:rPr>
          <w:lang w:val="es-ES_tradnl"/>
        </w:rPr>
        <w:t xml:space="preserve">. Con 11.1 km de longitud del nuevo trazo se presenta un ahorro en la distancia recorrida de 12.65 </w:t>
      </w:r>
      <w:proofErr w:type="spellStart"/>
      <w:r w:rsidRPr="00FA43AD">
        <w:rPr>
          <w:lang w:val="es-ES_tradnl"/>
        </w:rPr>
        <w:t>kms</w:t>
      </w:r>
      <w:proofErr w:type="spellEnd"/>
      <w:r w:rsidRPr="00FA43AD">
        <w:rPr>
          <w:lang w:val="es-ES_tradnl"/>
        </w:rPr>
        <w:t>, por lo tanto, esto representa un ahorro en las mercancías que se trasladan por el ferrocarril, debido a que la compañías ferroviarias cobran en base al número de toneladas movidas por kilómetro, es decir, que el beneficio generado se refiere únicamente al menor costo cobrado en las cuotas que se cobran por km/ton por la menor distancia recorrida de 12.65 km, independientemente de los costos de operación y mantenimiento de ferrocarril y de las vías del tren, el cual se presenta más adelante.</w:t>
      </w:r>
    </w:p>
    <w:p w:rsidR="002B3FD4" w:rsidRPr="00FA43AD" w:rsidRDefault="002B3FD4" w:rsidP="00FA43AD">
      <w:pPr>
        <w:jc w:val="both"/>
        <w:rPr>
          <w:lang w:val="es-ES_tradnl"/>
        </w:rPr>
      </w:pPr>
    </w:p>
    <w:p w:rsidR="00FA43AD" w:rsidRDefault="00FA43AD" w:rsidP="00FA43AD">
      <w:pPr>
        <w:jc w:val="both"/>
        <w:rPr>
          <w:lang w:val="es-ES_tradnl"/>
        </w:rPr>
      </w:pPr>
      <w:r w:rsidRPr="00FA43AD">
        <w:rPr>
          <w:lang w:val="es-ES_tradnl"/>
        </w:rPr>
        <w:lastRenderedPageBreak/>
        <w:t xml:space="preserve">Es importante señalar, que para el caso del combustible transportado a la terminal de almacenamiento y distribución de Pemex, el libramiento representa un costo para el primer año de operación, debido a la mayor distancia recorrida (la que incluye los 11.1 kilómetros del libramiento más la distancia de ida y vuelta de Los Toros a la terminal, que es de 25.8 </w:t>
      </w:r>
      <w:proofErr w:type="spellStart"/>
      <w:r w:rsidRPr="00FA43AD">
        <w:rPr>
          <w:lang w:val="es-ES_tradnl"/>
        </w:rPr>
        <w:t>kms</w:t>
      </w:r>
      <w:proofErr w:type="spellEnd"/>
      <w:r w:rsidRPr="00FA43AD">
        <w:rPr>
          <w:lang w:val="es-ES_tradnl"/>
        </w:rPr>
        <w:t xml:space="preserve">, resultando una diferencia mayor de 13.15 kilómetros contra la distancia recorrida antes del proyecto de 23.75 </w:t>
      </w:r>
      <w:proofErr w:type="spellStart"/>
      <w:r w:rsidRPr="00FA43AD">
        <w:rPr>
          <w:lang w:val="es-ES_tradnl"/>
        </w:rPr>
        <w:t>kms</w:t>
      </w:r>
      <w:proofErr w:type="spellEnd"/>
      <w:r w:rsidRPr="00FA43AD">
        <w:rPr>
          <w:lang w:val="es-ES_tradnl"/>
        </w:rPr>
        <w:t>.  Sin embargo, en el resto del horizonte de evaluación, una vez reubicada dicha terminal, resulta un beneficio para el resto de los bienes transportados de las otras empresas, mientras que para Pemex se realizará el traslado de los combustibles por vía marítima desde el puerto de Salina Cruz a la terminal de abastecimiento y distribución que se reubique en Puerto Chiapas.</w:t>
      </w:r>
    </w:p>
    <w:p w:rsidR="00FA43AD" w:rsidRPr="00FA43AD" w:rsidRDefault="00FA43AD" w:rsidP="00FA43AD">
      <w:pPr>
        <w:pStyle w:val="Ttulo2"/>
        <w:rPr>
          <w:rFonts w:asciiTheme="minorHAnsi" w:hAnsiTheme="minorHAnsi" w:cstheme="minorHAnsi"/>
          <w:b/>
          <w:color w:val="auto"/>
          <w:sz w:val="22"/>
        </w:rPr>
      </w:pPr>
      <w:bookmarkStart w:id="58" w:name="_Toc498519502"/>
      <w:r w:rsidRPr="00FA43AD">
        <w:rPr>
          <w:rFonts w:asciiTheme="minorHAnsi" w:hAnsiTheme="minorHAnsi" w:cstheme="minorHAnsi"/>
          <w:b/>
          <w:color w:val="auto"/>
          <w:sz w:val="22"/>
        </w:rPr>
        <w:t>b) Beneficio por evitar costos por molestia a los habitantes que viven en terrenos aledaños a las vías.</w:t>
      </w:r>
      <w:bookmarkEnd w:id="58"/>
    </w:p>
    <w:p w:rsidR="00FA43AD" w:rsidRPr="00FA43AD" w:rsidRDefault="00FA43AD" w:rsidP="00FA43AD">
      <w:pPr>
        <w:jc w:val="both"/>
        <w:rPr>
          <w:lang w:val="es-ES_tradnl"/>
        </w:rPr>
      </w:pPr>
      <w:r w:rsidRPr="00FA43AD">
        <w:rPr>
          <w:lang w:val="es-ES_tradnl"/>
        </w:rPr>
        <w:t xml:space="preserve">El cruce del tren, por el centro de Tapachula, genera molestias a los habitantes que viven a una costado de las vías por el ruido del treque este genera a su paso, por no contar con accesos viales hasta sus domicilios, por congestión en las vialidades cercanas a sus casas y por riesgos de explosión o incendios en áreas densamente pobladas. Con la construcción del libramiento ferroviario se evitará que el ferrocarril cruce por la ciudad, eliminándose las molestias o externalidades negativas que el ferrocarril genera a los predios aledaños a las vías, por lo que el proyecto genera un beneficio directo a estos habitantes.  </w:t>
      </w:r>
    </w:p>
    <w:p w:rsidR="00FA43AD" w:rsidRPr="00FA43AD" w:rsidRDefault="00FA43AD" w:rsidP="00FA43AD">
      <w:pPr>
        <w:jc w:val="both"/>
        <w:rPr>
          <w:lang w:val="es-ES_tradnl"/>
        </w:rPr>
      </w:pPr>
      <w:r w:rsidRPr="00FA43AD">
        <w:rPr>
          <w:lang w:val="es-ES_tradnl"/>
        </w:rPr>
        <w:t xml:space="preserve">Para calcular este beneficio, se consideró como referencia el valor de mercado de los terrenos, en base a predios con características similares ubicados en la misma zona o parecidas dentro de la ciudad de Tapachula, considerando los:  </w:t>
      </w:r>
    </w:p>
    <w:p w:rsidR="00FA43AD" w:rsidRPr="00FA43AD" w:rsidRDefault="00FA43AD" w:rsidP="00FA43AD">
      <w:pPr>
        <w:pStyle w:val="Prrafodelista"/>
        <w:numPr>
          <w:ilvl w:val="0"/>
          <w:numId w:val="23"/>
        </w:numPr>
        <w:jc w:val="both"/>
        <w:rPr>
          <w:lang w:val="es-ES_tradnl"/>
        </w:rPr>
      </w:pPr>
      <w:r w:rsidRPr="00FA43AD">
        <w:rPr>
          <w:lang w:val="es-ES_tradnl"/>
        </w:rPr>
        <w:t xml:space="preserve">Procedimientos para valuar terrenos con uso agropecuario, </w:t>
      </w:r>
    </w:p>
    <w:p w:rsidR="00FA43AD" w:rsidRPr="00FA43AD" w:rsidRDefault="00FA43AD" w:rsidP="00FA43AD">
      <w:pPr>
        <w:pStyle w:val="Prrafodelista"/>
        <w:numPr>
          <w:ilvl w:val="0"/>
          <w:numId w:val="23"/>
        </w:numPr>
        <w:jc w:val="both"/>
        <w:rPr>
          <w:lang w:val="es-ES_tradnl"/>
        </w:rPr>
      </w:pPr>
      <w:r w:rsidRPr="00FA43AD">
        <w:rPr>
          <w:lang w:val="es-ES_tradnl"/>
        </w:rPr>
        <w:t xml:space="preserve">Procedimientos para valuar terrenos urbanos y </w:t>
      </w:r>
    </w:p>
    <w:p w:rsidR="00FA43AD" w:rsidRPr="00FA43AD" w:rsidRDefault="00FA43AD" w:rsidP="00FA43AD">
      <w:pPr>
        <w:pStyle w:val="Prrafodelista"/>
        <w:numPr>
          <w:ilvl w:val="0"/>
          <w:numId w:val="23"/>
        </w:numPr>
        <w:jc w:val="both"/>
        <w:rPr>
          <w:lang w:val="es-ES_tradnl"/>
        </w:rPr>
      </w:pPr>
      <w:r w:rsidRPr="00FA43AD">
        <w:rPr>
          <w:lang w:val="es-ES_tradnl"/>
        </w:rPr>
        <w:t>Procedimientos para valuar terrenos en derechos de vía, publicados en el Diario Oficial de Federación el 19 de enero de 2009, los cuales señalan en sus apartados 1.4.18 y 1.4.21, 1.4.12 y 1.4.15, y  1.4.17 Valor Comercial (Valor justo de mercado) y enfoque comparativo de mercado, que:</w:t>
      </w:r>
    </w:p>
    <w:p w:rsidR="00FA43AD" w:rsidRPr="00FA43AD" w:rsidRDefault="00FA43AD" w:rsidP="00FA43AD">
      <w:pPr>
        <w:jc w:val="both"/>
        <w:rPr>
          <w:lang w:val="es-ES_tradnl"/>
        </w:rPr>
      </w:pPr>
      <w:r w:rsidRPr="00FA43AD">
        <w:rPr>
          <w:lang w:val="es-ES_tradnl"/>
        </w:rPr>
        <w:t xml:space="preserve">“Es el método para estimar el indicador de valor de bienes que pueden ser analizados con bienes comparables existentes en el mercado abierto; se basa en la investigación de la oferta y la demanda de dichos bienes, operaciones de compraventa recientes, operaciones de renta o alquiler, y que mediante una homologación de los datos obtenidos, permiten al valuador estimar un indicador de valor comparativo de mercado”. </w:t>
      </w:r>
    </w:p>
    <w:p w:rsidR="00FA43AD" w:rsidRPr="00FA43AD" w:rsidRDefault="00FA43AD" w:rsidP="00FA43AD">
      <w:pPr>
        <w:jc w:val="both"/>
        <w:rPr>
          <w:lang w:val="es-ES_tradnl"/>
        </w:rPr>
      </w:pPr>
      <w:r w:rsidRPr="00FA43AD">
        <w:rPr>
          <w:lang w:val="es-ES_tradnl"/>
        </w:rPr>
        <w:t>El supuesto que justifica el empleo de este método, se basa en que un inversionista no pagará más por una propiedad que lo que estaría dispuesto a pagar por una propiedad similar, de utilidad comparable y disponible en el mercado. El enfoque comparativo de mercado incorpora los conceptos contenidos en los principios de Sustitución, de la Oferta y la Demanda, de Homogeneidad o Conformidad, de Cambio, de Progresión y Regresión, de Crecimiento, Equilibrio y Declinación, de Competencia y de Mayor y Mejor Uso.</w:t>
      </w:r>
    </w:p>
    <w:p w:rsidR="00FA43AD" w:rsidRPr="00FA43AD" w:rsidRDefault="00FA43AD" w:rsidP="00FA43AD">
      <w:pPr>
        <w:jc w:val="both"/>
        <w:rPr>
          <w:lang w:val="es-ES_tradnl"/>
        </w:rPr>
      </w:pPr>
      <w:r w:rsidRPr="00FA43AD">
        <w:rPr>
          <w:lang w:val="es-ES_tradnl"/>
        </w:rPr>
        <w:t xml:space="preserve">Adicionalmente señalan que los terrenos urbanos pueden ser homologados, refiriendo: Es la acción de poner en relación de igualdad y semejanza dos bienes, haciendo intervenir variables físicas que las diferencian, tales como: conservación, superficie, zona, ubicación, edad consumida, calidad, uso de </w:t>
      </w:r>
      <w:r w:rsidRPr="00FA43AD">
        <w:rPr>
          <w:lang w:val="es-ES_tradnl"/>
        </w:rPr>
        <w:lastRenderedPageBreak/>
        <w:t>suelo o cualquier otra variable que se estime prudente incluir para un razonable análisis comparativo de mercado.</w:t>
      </w:r>
    </w:p>
    <w:p w:rsidR="00FA43AD" w:rsidRPr="00FA43AD" w:rsidRDefault="00FA43AD" w:rsidP="00FA43AD">
      <w:pPr>
        <w:jc w:val="both"/>
        <w:rPr>
          <w:lang w:val="es-ES_tradnl"/>
        </w:rPr>
      </w:pPr>
      <w:r w:rsidRPr="00FA43AD">
        <w:rPr>
          <w:lang w:val="es-ES_tradnl"/>
        </w:rPr>
        <w:t xml:space="preserve">Por lo anterior, sé considera que este es un beneficio atribuible al proyecto al eliminar las molestias a la población que vive cerca de la vía. En este cálculo no se consideran los terrenos que conforman el Derecho de Vía, ya que este es un beneficio diferente, sin embargo, si se consideró el costo por derecho de vía del nuevo trazo para determinar un precio promedio ponderado del valor de los terrenos y los distintos precios de las zonas rurales y urbanas para cada una de las 5 zonas en que se </w:t>
      </w:r>
      <w:proofErr w:type="spellStart"/>
      <w:r w:rsidRPr="00FA43AD">
        <w:rPr>
          <w:lang w:val="es-ES_tradnl"/>
        </w:rPr>
        <w:t>tramificó</w:t>
      </w:r>
      <w:proofErr w:type="spellEnd"/>
      <w:r w:rsidRPr="00FA43AD">
        <w:rPr>
          <w:lang w:val="es-ES_tradnl"/>
        </w:rPr>
        <w:t xml:space="preserve"> la vía actual 23.75 </w:t>
      </w:r>
      <w:proofErr w:type="spellStart"/>
      <w:r w:rsidRPr="00FA43AD">
        <w:rPr>
          <w:lang w:val="es-ES_tradnl"/>
        </w:rPr>
        <w:t>kms</w:t>
      </w:r>
      <w:proofErr w:type="spellEnd"/>
      <w:r w:rsidRPr="00FA43AD">
        <w:rPr>
          <w:lang w:val="es-ES_tradnl"/>
        </w:rPr>
        <w:t xml:space="preserve">, multiplicándolos por el ancho de la vía hasta donde se percibe la molestia en los predios aledaños, en este caso 15 </w:t>
      </w:r>
      <w:proofErr w:type="spellStart"/>
      <w:r w:rsidRPr="00FA43AD">
        <w:rPr>
          <w:lang w:val="es-ES_tradnl"/>
        </w:rPr>
        <w:t>mts</w:t>
      </w:r>
      <w:proofErr w:type="spellEnd"/>
      <w:r w:rsidRPr="00FA43AD">
        <w:rPr>
          <w:lang w:val="es-ES_tradnl"/>
        </w:rPr>
        <w:t xml:space="preserve"> por cada lado. </w:t>
      </w:r>
    </w:p>
    <w:p w:rsidR="00FA43AD" w:rsidRPr="00FA43AD" w:rsidRDefault="00FA43AD" w:rsidP="00FA43AD">
      <w:pPr>
        <w:jc w:val="both"/>
        <w:rPr>
          <w:lang w:val="es-ES_tradnl"/>
        </w:rPr>
      </w:pPr>
      <w:r w:rsidRPr="00FA43AD">
        <w:rPr>
          <w:lang w:val="es-ES_tradnl"/>
        </w:rPr>
        <w:t xml:space="preserve">En el siguiente cuadro se observa la </w:t>
      </w:r>
      <w:proofErr w:type="spellStart"/>
      <w:r w:rsidRPr="00FA43AD">
        <w:rPr>
          <w:lang w:val="es-ES_tradnl"/>
        </w:rPr>
        <w:t>tramificación</w:t>
      </w:r>
      <w:proofErr w:type="spellEnd"/>
      <w:r w:rsidRPr="00FA43AD">
        <w:rPr>
          <w:lang w:val="es-ES_tradnl"/>
        </w:rPr>
        <w:t xml:space="preserve"> y el cálculo del precio promedio ponderado de los terrenos.  Es importante agregar, que en zonas industriales la conexión con vías del ferrocarril y otros modos de transporte determinan plusvalía.</w:t>
      </w:r>
    </w:p>
    <w:p w:rsidR="00FA43AD" w:rsidRPr="00FA43AD" w:rsidRDefault="00FA43AD" w:rsidP="00FA43AD">
      <w:pPr>
        <w:pStyle w:val="Ttulo2"/>
        <w:rPr>
          <w:rFonts w:asciiTheme="minorHAnsi" w:hAnsiTheme="minorHAnsi" w:cstheme="minorHAnsi"/>
          <w:b/>
          <w:color w:val="auto"/>
          <w:sz w:val="22"/>
        </w:rPr>
      </w:pPr>
      <w:bookmarkStart w:id="59" w:name="_Toc498519503"/>
      <w:r>
        <w:rPr>
          <w:rFonts w:asciiTheme="minorHAnsi" w:hAnsiTheme="minorHAnsi" w:cstheme="minorHAnsi"/>
          <w:b/>
          <w:color w:val="auto"/>
          <w:sz w:val="22"/>
        </w:rPr>
        <w:t xml:space="preserve">c) </w:t>
      </w:r>
      <w:r w:rsidRPr="00FA43AD">
        <w:rPr>
          <w:rFonts w:asciiTheme="minorHAnsi" w:hAnsiTheme="minorHAnsi" w:cstheme="minorHAnsi"/>
          <w:b/>
          <w:color w:val="auto"/>
          <w:sz w:val="22"/>
        </w:rPr>
        <w:t>Beneficio por liberación de terrenos</w:t>
      </w:r>
      <w:r>
        <w:rPr>
          <w:rFonts w:asciiTheme="minorHAnsi" w:hAnsiTheme="minorHAnsi" w:cstheme="minorHAnsi"/>
          <w:b/>
          <w:color w:val="auto"/>
          <w:sz w:val="22"/>
        </w:rPr>
        <w:t>.</w:t>
      </w:r>
      <w:bookmarkEnd w:id="59"/>
    </w:p>
    <w:p w:rsidR="00FA43AD" w:rsidRPr="00FA43AD" w:rsidRDefault="00FA43AD" w:rsidP="00FA43AD">
      <w:pPr>
        <w:jc w:val="both"/>
        <w:rPr>
          <w:lang w:val="es-ES_tradnl"/>
        </w:rPr>
      </w:pPr>
      <w:r w:rsidRPr="00FA43AD">
        <w:rPr>
          <w:lang w:val="es-ES_tradnl"/>
        </w:rPr>
        <w:t xml:space="preserve">Una vez que el tren deje de pasar por la ciudad de Tapachula, los terrenos que se encuentran ocupados por las vías podrán liberarse, sin embargo, la SCT no tiene a la fecha ningún acuerdo con el municipio para ver cuál va a ser el uso alternativo que se dará a los terrenos.  No obstante, La Dirección de Control Urbano del municipio de Tapachula , tiene contemplada la construcción de una vía rápida en el tramo que comprende desde la orilla poniente del río </w:t>
      </w:r>
      <w:proofErr w:type="spellStart"/>
      <w:r w:rsidRPr="00FA43AD">
        <w:rPr>
          <w:lang w:val="es-ES_tradnl"/>
        </w:rPr>
        <w:t>Coatan</w:t>
      </w:r>
      <w:proofErr w:type="spellEnd"/>
      <w:r w:rsidRPr="00FA43AD">
        <w:rPr>
          <w:lang w:val="es-ES_tradnl"/>
        </w:rPr>
        <w:t xml:space="preserve"> hasta donde actualmente inicia el par vial en la calle 7ª Sur.  El resto de los terrenos del libramiento se pueden destinar para la ampliación de vialidades, construcción de parques etc.  </w:t>
      </w:r>
    </w:p>
    <w:p w:rsidR="00A5517D" w:rsidRDefault="00FA43AD" w:rsidP="00FA43AD">
      <w:pPr>
        <w:jc w:val="both"/>
        <w:rPr>
          <w:lang w:val="es-ES_tradnl"/>
        </w:rPr>
      </w:pPr>
      <w:r w:rsidRPr="00FA43AD">
        <w:rPr>
          <w:lang w:val="es-ES_tradnl"/>
        </w:rPr>
        <w:t>Este beneficio consiste en la diferencia entre los terrenos que ocupan los derechos de vía de la vía actual y el total de los terrenos que se estarían ocupando por el derecho de vía del trazo propuesto para el libramiento ferroviario, es decir 71.25 hectáreas menos 44.4 hectáreas, liberándose 26.85 hectáreas.</w:t>
      </w:r>
    </w:p>
    <w:p w:rsidR="00FA43AD" w:rsidRPr="00FA43AD" w:rsidRDefault="00FA43AD" w:rsidP="00FA43AD">
      <w:pPr>
        <w:pStyle w:val="Ttulo2"/>
        <w:rPr>
          <w:rFonts w:asciiTheme="minorHAnsi" w:hAnsiTheme="minorHAnsi" w:cstheme="minorHAnsi"/>
          <w:b/>
          <w:color w:val="auto"/>
          <w:sz w:val="22"/>
        </w:rPr>
      </w:pPr>
      <w:bookmarkStart w:id="60" w:name="_Toc498519504"/>
      <w:r>
        <w:rPr>
          <w:rFonts w:asciiTheme="minorHAnsi" w:hAnsiTheme="minorHAnsi" w:cstheme="minorHAnsi"/>
          <w:b/>
          <w:color w:val="auto"/>
          <w:sz w:val="22"/>
        </w:rPr>
        <w:t xml:space="preserve">d) </w:t>
      </w:r>
      <w:r w:rsidRPr="00FA43AD">
        <w:rPr>
          <w:rFonts w:asciiTheme="minorHAnsi" w:hAnsiTheme="minorHAnsi" w:cstheme="minorHAnsi"/>
          <w:b/>
          <w:color w:val="auto"/>
          <w:sz w:val="22"/>
        </w:rPr>
        <w:t>Beneficio por ahorro en costos de operación</w:t>
      </w:r>
      <w:r>
        <w:rPr>
          <w:rFonts w:asciiTheme="minorHAnsi" w:hAnsiTheme="minorHAnsi" w:cstheme="minorHAnsi"/>
          <w:b/>
          <w:color w:val="auto"/>
          <w:sz w:val="22"/>
        </w:rPr>
        <w:t>.</w:t>
      </w:r>
      <w:bookmarkEnd w:id="60"/>
    </w:p>
    <w:p w:rsidR="00FA43AD" w:rsidRPr="00FA43AD" w:rsidRDefault="00FA43AD" w:rsidP="00FA43AD">
      <w:pPr>
        <w:jc w:val="both"/>
        <w:rPr>
          <w:lang w:val="es-ES_tradnl"/>
        </w:rPr>
      </w:pPr>
      <w:r w:rsidRPr="00FA43AD">
        <w:rPr>
          <w:lang w:val="es-ES_tradnl"/>
        </w:rPr>
        <w:t xml:space="preserve">Como se describió anteriormente, el libramiento ferroviario tendrá un impacto en la distancia total recorrida por los trenes, generando un ahorro de 12.65 </w:t>
      </w:r>
      <w:proofErr w:type="spellStart"/>
      <w:r w:rsidRPr="00FA43AD">
        <w:rPr>
          <w:lang w:val="es-ES_tradnl"/>
        </w:rPr>
        <w:t>kms</w:t>
      </w:r>
      <w:proofErr w:type="spellEnd"/>
      <w:r w:rsidRPr="00FA43AD">
        <w:rPr>
          <w:lang w:val="es-ES_tradnl"/>
        </w:rPr>
        <w:t xml:space="preserve"> por la menor distancia en su recorrido.  Esta reducción se ve reflejada en ahorros en los costos de operación de los trenes y en el mantenimiento de las vías.  Estos ahorros son por el menor costo de mantenimiento de las vías derivado de la menor distancia recorrida por el libramiento que por la ciudad de Tapachula. </w:t>
      </w:r>
    </w:p>
    <w:p w:rsidR="00FA43AD" w:rsidRPr="00FA43AD" w:rsidRDefault="00FA43AD" w:rsidP="00FA43AD">
      <w:pPr>
        <w:jc w:val="both"/>
        <w:rPr>
          <w:lang w:val="es-ES_tradnl"/>
        </w:rPr>
      </w:pPr>
      <w:r w:rsidRPr="00FA43AD">
        <w:rPr>
          <w:lang w:val="es-ES_tradnl"/>
        </w:rPr>
        <w:t xml:space="preserve">Para el cálculo de este beneficio se consideró el costo total de operación que la empresa Chiapas-Mayab presentó hasta antes de cancelar sus operaciones en 2006, y se dividió entre los kilómetros totales de vía concesionados para obtener el costo de operación por kilómetro, cantidad que se multiplicó por los </w:t>
      </w:r>
      <w:proofErr w:type="spellStart"/>
      <w:r w:rsidRPr="00FA43AD">
        <w:rPr>
          <w:lang w:val="es-ES_tradnl"/>
        </w:rPr>
        <w:t>kms</w:t>
      </w:r>
      <w:proofErr w:type="spellEnd"/>
      <w:r w:rsidRPr="00FA43AD">
        <w:rPr>
          <w:lang w:val="es-ES_tradnl"/>
        </w:rPr>
        <w:t xml:space="preserve"> de ahorro en distancia.  </w:t>
      </w:r>
    </w:p>
    <w:p w:rsidR="00FA43AD" w:rsidRDefault="00FA43AD" w:rsidP="00FA43AD">
      <w:pPr>
        <w:jc w:val="both"/>
        <w:rPr>
          <w:lang w:val="es-ES_tradnl"/>
        </w:rPr>
      </w:pPr>
      <w:r w:rsidRPr="00FA43AD">
        <w:rPr>
          <w:lang w:val="es-ES_tradnl"/>
        </w:rPr>
        <w:t>Para calcular el ahorro en costo de mantenimiento se consideró la diferencia en costos de mantenimiento entre la vía actual dentro de Tapachula y el libramiento. Ambas operaciones se realizaron considerando el horizonte de evaluación del estudio.  En los siguientes cuadros se muestran el ahorro en costos para la operación y mantenimiento de la vía actual.</w:t>
      </w:r>
    </w:p>
    <w:p w:rsidR="00FA43AD" w:rsidRPr="00FA43AD" w:rsidRDefault="00FA43AD" w:rsidP="00FA43AD">
      <w:pPr>
        <w:pStyle w:val="Ttulo2"/>
        <w:jc w:val="both"/>
        <w:rPr>
          <w:rFonts w:asciiTheme="minorHAnsi" w:hAnsiTheme="minorHAnsi" w:cstheme="minorHAnsi"/>
          <w:b/>
          <w:color w:val="auto"/>
          <w:sz w:val="22"/>
        </w:rPr>
      </w:pPr>
      <w:bookmarkStart w:id="61" w:name="_Toc498519505"/>
      <w:r w:rsidRPr="00FA43AD">
        <w:rPr>
          <w:rFonts w:asciiTheme="minorHAnsi" w:hAnsiTheme="minorHAnsi" w:cstheme="minorHAnsi"/>
          <w:b/>
          <w:color w:val="auto"/>
          <w:sz w:val="22"/>
        </w:rPr>
        <w:lastRenderedPageBreak/>
        <w:t xml:space="preserve">e) Ahorro en CGV de vehículos y peatones en las calles 8ª, 6ª, 4ª, 5ª Sur, 20a </w:t>
      </w:r>
      <w:proofErr w:type="spellStart"/>
      <w:r w:rsidRPr="00FA43AD">
        <w:rPr>
          <w:rFonts w:asciiTheme="minorHAnsi" w:hAnsiTheme="minorHAnsi" w:cstheme="minorHAnsi"/>
          <w:b/>
          <w:color w:val="auto"/>
          <w:sz w:val="22"/>
        </w:rPr>
        <w:t>Pte</w:t>
      </w:r>
      <w:proofErr w:type="spellEnd"/>
      <w:r w:rsidRPr="00FA43AD">
        <w:rPr>
          <w:rFonts w:asciiTheme="minorHAnsi" w:hAnsiTheme="minorHAnsi" w:cstheme="minorHAnsi"/>
          <w:b/>
          <w:color w:val="auto"/>
          <w:sz w:val="22"/>
        </w:rPr>
        <w:t>, Par vial y libramiento vial en los segmentos norte y sur.</w:t>
      </w:r>
      <w:bookmarkEnd w:id="61"/>
    </w:p>
    <w:p w:rsidR="00FA43AD" w:rsidRPr="00FA43AD" w:rsidRDefault="00FA43AD" w:rsidP="00FA43AD">
      <w:pPr>
        <w:jc w:val="both"/>
        <w:rPr>
          <w:lang w:val="es-ES_tradnl"/>
        </w:rPr>
      </w:pPr>
      <w:r w:rsidRPr="00FA43AD">
        <w:rPr>
          <w:lang w:val="es-ES_tradnl"/>
        </w:rPr>
        <w:t xml:space="preserve">A su paso por la ciudad de Tapachula el tren cruza por las calles 8ª, 6ª, 4ª, 5ª Sur, la calle 20ª </w:t>
      </w:r>
      <w:proofErr w:type="spellStart"/>
      <w:r w:rsidRPr="00FA43AD">
        <w:rPr>
          <w:lang w:val="es-ES_tradnl"/>
        </w:rPr>
        <w:t>Pte</w:t>
      </w:r>
      <w:proofErr w:type="spellEnd"/>
      <w:r w:rsidRPr="00FA43AD">
        <w:rPr>
          <w:lang w:val="es-ES_tradnl"/>
        </w:rPr>
        <w:t xml:space="preserve">, el entronque del par vial formado por calles 7ª, 9ª Sur y la 28 </w:t>
      </w:r>
      <w:proofErr w:type="spellStart"/>
      <w:r w:rsidRPr="00FA43AD">
        <w:rPr>
          <w:lang w:val="es-ES_tradnl"/>
        </w:rPr>
        <w:t>Ote</w:t>
      </w:r>
      <w:proofErr w:type="spellEnd"/>
      <w:r w:rsidRPr="00FA43AD">
        <w:rPr>
          <w:lang w:val="es-ES_tradnl"/>
        </w:rPr>
        <w:t>, y los segmentos norte y sur del libramiento vial de Tapachula, que son las vialidades con mayor flujo vehicular y que se ven más afectadas con el paso del tren. Como parte de los trabajos para cuantificar los efectos que el paso del ferrocarril ocasiona a la circulación de vehículos y peatones, se realizaron aforos vehiculares y de personas. En su paso por Tapachula, el ferrocarril también cruza por las calles de Lirio e Internado, sin embargo en estas vías no se observa flujo vial considerable, por lo que no se cuantificó el efecto del ferrocarril en estos entronques.</w:t>
      </w:r>
    </w:p>
    <w:p w:rsidR="00FA43AD" w:rsidRPr="00FA43AD" w:rsidRDefault="00FA43AD" w:rsidP="00FA43AD">
      <w:pPr>
        <w:jc w:val="both"/>
        <w:rPr>
          <w:lang w:val="es-ES_tradnl"/>
        </w:rPr>
      </w:pPr>
      <w:r w:rsidRPr="00FA43AD">
        <w:rPr>
          <w:lang w:val="es-ES_tradnl"/>
        </w:rPr>
        <w:t xml:space="preserve">El beneficio generado derivado de la construcción del libramiento, consiste en que una vez que el tren deje de circular por la ciudad de Tapachula, los vehículos podrán transitar libremente, lo que traerá como consecuencia un ahorro en tiempo al no tener que esperar el paso del tren, haciéndose la circulación más continua en estos puntos dado que solo existe un semáforo en el entronque vial de las calles 7ª, 9ª Sur y la 28 </w:t>
      </w:r>
      <w:proofErr w:type="spellStart"/>
      <w:r w:rsidRPr="00FA43AD">
        <w:rPr>
          <w:lang w:val="es-ES_tradnl"/>
        </w:rPr>
        <w:t>Ote</w:t>
      </w:r>
      <w:proofErr w:type="spellEnd"/>
      <w:r w:rsidRPr="00FA43AD">
        <w:rPr>
          <w:lang w:val="es-ES_tradnl"/>
        </w:rPr>
        <w:t>.</w:t>
      </w:r>
    </w:p>
    <w:p w:rsidR="00FA43AD" w:rsidRPr="00FA43AD" w:rsidRDefault="00FA43AD" w:rsidP="00FA43AD">
      <w:pPr>
        <w:jc w:val="both"/>
        <w:rPr>
          <w:lang w:val="es-ES_tradnl"/>
        </w:rPr>
      </w:pPr>
      <w:r w:rsidRPr="00FA43AD">
        <w:rPr>
          <w:lang w:val="es-ES_tradnl"/>
        </w:rPr>
        <w:t>También se consideraron las personas que cruzan las vías por estas calles.  Para cuantificar el beneficio se consideró el mismo tiempo de espera que para los vehículos, el cual se multiplicó por el v</w:t>
      </w:r>
      <w:r>
        <w:rPr>
          <w:lang w:val="es-ES_tradnl"/>
        </w:rPr>
        <w:t>alor del tiempo ($24.04 la hora</w:t>
      </w:r>
      <w:r w:rsidRPr="00FA43AD">
        <w:rPr>
          <w:lang w:val="es-ES_tradnl"/>
        </w:rPr>
        <w:t>) y se multiplicó por el número de días al año.  Para el caso de los cruces que son afectados por la descarga de combustible a la terminal de Pemex se consideró el número de días de afectación y tiempo.</w:t>
      </w:r>
    </w:p>
    <w:p w:rsidR="00FA43AD" w:rsidRPr="00FA43AD" w:rsidRDefault="00FA43AD" w:rsidP="00FA43AD">
      <w:pPr>
        <w:jc w:val="both"/>
        <w:rPr>
          <w:lang w:val="es-ES_tradnl"/>
        </w:rPr>
      </w:pPr>
      <w:r w:rsidRPr="00FA43AD">
        <w:rPr>
          <w:lang w:val="es-ES_tradnl"/>
        </w:rPr>
        <w:t xml:space="preserve">Los tiempos de espera son de 10 minutos en promedio en los cruces con las calles 8ª, 6ª, 4ª Sur libramiento vial segmento norte y sur, y de 18 minutos en los cruces de las calles 5ª Sur, la calle 20ª </w:t>
      </w:r>
      <w:proofErr w:type="spellStart"/>
      <w:r w:rsidRPr="00FA43AD">
        <w:rPr>
          <w:lang w:val="es-ES_tradnl"/>
        </w:rPr>
        <w:t>Pte</w:t>
      </w:r>
      <w:proofErr w:type="spellEnd"/>
      <w:r w:rsidRPr="00FA43AD">
        <w:rPr>
          <w:lang w:val="es-ES_tradnl"/>
        </w:rPr>
        <w:t xml:space="preserve"> y el entronque del par vial formado por calles 7ª, 9ª Sur y la 28 </w:t>
      </w:r>
      <w:proofErr w:type="spellStart"/>
      <w:r w:rsidRPr="00FA43AD">
        <w:rPr>
          <w:lang w:val="es-ES_tradnl"/>
        </w:rPr>
        <w:t>Ote</w:t>
      </w:r>
      <w:proofErr w:type="spellEnd"/>
      <w:r w:rsidRPr="00FA43AD">
        <w:rPr>
          <w:lang w:val="es-ES_tradnl"/>
        </w:rPr>
        <w:t xml:space="preserve">, debido al tiempo utilizado por el cruce del tren que descarga combustible en la terminal de almacenamiento y distribución de Pemex, al hacer movimientos de cambios de vía y descarga.  </w:t>
      </w:r>
    </w:p>
    <w:p w:rsidR="00FA43AD" w:rsidRDefault="00FA43AD" w:rsidP="00FA43AD">
      <w:pPr>
        <w:jc w:val="both"/>
        <w:rPr>
          <w:lang w:val="es-ES_tradnl"/>
        </w:rPr>
      </w:pPr>
      <w:r w:rsidRPr="00FA43AD">
        <w:rPr>
          <w:lang w:val="es-ES_tradnl"/>
        </w:rPr>
        <w:t xml:space="preserve">La calle 20ª Pte. se encuentra ubicada en un costado de la terminal de Pemex y la calle 5ª Sur donde se encuentra en el cambio de vías, el entronque vial se ve afectado por el largo del tren al hacer los movimientos de cambios de vía y movimiento de carros.  </w:t>
      </w:r>
    </w:p>
    <w:p w:rsidR="00FA43AD" w:rsidRPr="00FA43AD" w:rsidRDefault="00FA43AD" w:rsidP="00FA43AD">
      <w:pPr>
        <w:pStyle w:val="Ttulo2"/>
        <w:jc w:val="both"/>
        <w:rPr>
          <w:rFonts w:asciiTheme="minorHAnsi" w:hAnsiTheme="minorHAnsi" w:cstheme="minorHAnsi"/>
          <w:b/>
          <w:color w:val="auto"/>
          <w:sz w:val="22"/>
        </w:rPr>
      </w:pPr>
      <w:bookmarkStart w:id="62" w:name="_Toc498519506"/>
      <w:r>
        <w:rPr>
          <w:rFonts w:asciiTheme="minorHAnsi" w:hAnsiTheme="minorHAnsi" w:cstheme="minorHAnsi"/>
          <w:b/>
          <w:color w:val="auto"/>
          <w:sz w:val="22"/>
        </w:rPr>
        <w:t xml:space="preserve">f) </w:t>
      </w:r>
      <w:r w:rsidRPr="00FA43AD">
        <w:rPr>
          <w:rFonts w:asciiTheme="minorHAnsi" w:hAnsiTheme="minorHAnsi" w:cstheme="minorHAnsi"/>
          <w:b/>
          <w:color w:val="auto"/>
          <w:sz w:val="22"/>
        </w:rPr>
        <w:t xml:space="preserve">Ahorro en CGV por eliminar las vías en las calles 8ª, 6ª, 4ª, 5ª Sur, 20ª </w:t>
      </w:r>
      <w:proofErr w:type="spellStart"/>
      <w:r w:rsidRPr="00FA43AD">
        <w:rPr>
          <w:rFonts w:asciiTheme="minorHAnsi" w:hAnsiTheme="minorHAnsi" w:cstheme="minorHAnsi"/>
          <w:b/>
          <w:color w:val="auto"/>
          <w:sz w:val="22"/>
        </w:rPr>
        <w:t>Pte</w:t>
      </w:r>
      <w:proofErr w:type="spellEnd"/>
      <w:r w:rsidRPr="00FA43AD">
        <w:rPr>
          <w:rFonts w:asciiTheme="minorHAnsi" w:hAnsiTheme="minorHAnsi" w:cstheme="minorHAnsi"/>
          <w:b/>
          <w:color w:val="auto"/>
          <w:sz w:val="22"/>
        </w:rPr>
        <w:t>, cruce par vial y libramiento segmento norte y sur.</w:t>
      </w:r>
      <w:bookmarkEnd w:id="62"/>
    </w:p>
    <w:p w:rsidR="00FA43AD" w:rsidRPr="00FA43AD" w:rsidRDefault="00FA43AD" w:rsidP="00FA43AD">
      <w:pPr>
        <w:jc w:val="both"/>
        <w:rPr>
          <w:lang w:val="es-ES_tradnl"/>
        </w:rPr>
      </w:pPr>
      <w:r w:rsidRPr="00FA43AD">
        <w:rPr>
          <w:lang w:val="es-ES_tradnl"/>
        </w:rPr>
        <w:t>Durante las horas del día los vehículos que transitan por las calles de Tapachula que cruzan con las vías del ferrocarril, tienen que frenar para cruzar las vías, por lo que después tienen que efectuar una acción de arranque o aceleración para continuar por la calle.</w:t>
      </w:r>
    </w:p>
    <w:p w:rsidR="00FA43AD" w:rsidRPr="00FA43AD" w:rsidRDefault="00FA43AD" w:rsidP="00FA43AD">
      <w:pPr>
        <w:jc w:val="both"/>
        <w:rPr>
          <w:lang w:val="es-ES_tradnl"/>
        </w:rPr>
      </w:pPr>
      <w:r w:rsidRPr="00FA43AD">
        <w:rPr>
          <w:lang w:val="es-ES_tradnl"/>
        </w:rPr>
        <w:t>Una vez que sean retiradas las vías, los vehículos podrán cruzar por las calles afectadas manteniendo la velocidad de circulación, generándose un ahorro en combustible, el cual se cuantificó considerando los factores que se han utilizado anteriormente en este mismo capítulo, para el cálculo de consumo de combustible. Estos factores son de 0.0174 litros para autos ligeros y 0.0916 litros para autobuses y camiones por cada acción de arranque.</w:t>
      </w:r>
    </w:p>
    <w:p w:rsidR="00FA43AD" w:rsidRPr="00FA43AD" w:rsidRDefault="00FA43AD" w:rsidP="00FA43AD">
      <w:pPr>
        <w:jc w:val="both"/>
        <w:rPr>
          <w:lang w:val="es-ES_tradnl"/>
        </w:rPr>
      </w:pPr>
      <w:r w:rsidRPr="00FA43AD">
        <w:rPr>
          <w:lang w:val="es-ES_tradnl"/>
        </w:rPr>
        <w:t>Este beneficio se diferencia del beneficio de Ahorros en CGV de vehículos y peatones, ya que este no considera el flujo vehicular afectado durante el bloqueo de la calle por el cruce del tren, sino el transito normal del resto del día cuando el tren ya no circula por la ciudad de Tapachula.</w:t>
      </w:r>
    </w:p>
    <w:p w:rsidR="00FA43AD" w:rsidRDefault="00FA43AD" w:rsidP="00FA43AD">
      <w:pPr>
        <w:jc w:val="both"/>
        <w:rPr>
          <w:lang w:val="es-ES_tradnl"/>
        </w:rPr>
      </w:pPr>
      <w:r w:rsidRPr="00FA43AD">
        <w:rPr>
          <w:lang w:val="es-ES_tradnl"/>
        </w:rPr>
        <w:lastRenderedPageBreak/>
        <w:t>Para la cuantificación, se consideraron los aforos señalados en el cuadro 3.9 (ver cuadro) y se multiplicaron por los factores de combustible y por el precio de la gasolina, generándose los ahorros que se presentan en el siguiente cuadro para cada una de las calles, cifras en millones de pesos.</w:t>
      </w:r>
    </w:p>
    <w:p w:rsidR="00A5517D" w:rsidRDefault="00A5517D" w:rsidP="00A5517D">
      <w:pPr>
        <w:pStyle w:val="Ttulo1"/>
        <w:numPr>
          <w:ilvl w:val="0"/>
          <w:numId w:val="6"/>
        </w:numPr>
        <w:ind w:right="-376" w:hanging="76"/>
        <w:rPr>
          <w:rFonts w:asciiTheme="minorHAnsi" w:hAnsiTheme="minorHAnsi"/>
          <w:sz w:val="24"/>
          <w:lang w:val="es-ES_tradnl"/>
        </w:rPr>
      </w:pPr>
      <w:bookmarkStart w:id="63" w:name="_Toc498519507"/>
      <w:r w:rsidRPr="00A5517D">
        <w:rPr>
          <w:rFonts w:asciiTheme="minorHAnsi" w:hAnsiTheme="minorHAnsi"/>
          <w:sz w:val="24"/>
          <w:lang w:val="es-ES_tradnl"/>
        </w:rPr>
        <w:t>Externalidades positivas y/o negativas.</w:t>
      </w:r>
      <w:bookmarkEnd w:id="63"/>
    </w:p>
    <w:p w:rsidR="00240CEE" w:rsidRPr="00240CEE" w:rsidRDefault="00240CEE" w:rsidP="00240CEE">
      <w:pPr>
        <w:pStyle w:val="Ttulo2"/>
        <w:rPr>
          <w:rFonts w:asciiTheme="minorHAnsi" w:hAnsiTheme="minorHAnsi" w:cstheme="minorHAnsi"/>
          <w:b/>
          <w:color w:val="auto"/>
          <w:sz w:val="22"/>
        </w:rPr>
      </w:pPr>
      <w:bookmarkStart w:id="64" w:name="_Toc498519508"/>
      <w:r w:rsidRPr="00240CEE">
        <w:rPr>
          <w:rFonts w:asciiTheme="minorHAnsi" w:hAnsiTheme="minorHAnsi" w:cstheme="minorHAnsi"/>
          <w:b/>
          <w:color w:val="auto"/>
          <w:sz w:val="22"/>
        </w:rPr>
        <w:t>a) Externalidades positivas.</w:t>
      </w:r>
      <w:bookmarkEnd w:id="64"/>
    </w:p>
    <w:p w:rsidR="00240CEE" w:rsidRDefault="00240CEE" w:rsidP="00240CEE">
      <w:pPr>
        <w:rPr>
          <w:lang w:val="es-ES_tradnl"/>
        </w:rPr>
      </w:pPr>
      <w:r>
        <w:rPr>
          <w:lang w:val="es-ES_tradnl"/>
        </w:rPr>
        <w:t>Un crecimiento en la producción de los materiales trasportados por la línea “k” del ferrocarril.</w:t>
      </w:r>
    </w:p>
    <w:p w:rsidR="00240CEE" w:rsidRPr="00240CEE" w:rsidRDefault="00240CEE" w:rsidP="00240CEE">
      <w:pPr>
        <w:pStyle w:val="Ttulo2"/>
        <w:rPr>
          <w:rFonts w:asciiTheme="minorHAnsi" w:hAnsiTheme="minorHAnsi" w:cstheme="minorHAnsi"/>
          <w:b/>
          <w:color w:val="auto"/>
          <w:sz w:val="22"/>
        </w:rPr>
      </w:pPr>
      <w:bookmarkStart w:id="65" w:name="_Toc498519509"/>
      <w:r w:rsidRPr="00240CEE">
        <w:rPr>
          <w:rFonts w:asciiTheme="minorHAnsi" w:hAnsiTheme="minorHAnsi" w:cstheme="minorHAnsi"/>
          <w:b/>
          <w:color w:val="auto"/>
          <w:sz w:val="22"/>
        </w:rPr>
        <w:t>b) Externalidades negativas.</w:t>
      </w:r>
      <w:bookmarkEnd w:id="65"/>
    </w:p>
    <w:p w:rsidR="00240CEE" w:rsidRPr="00240CEE" w:rsidRDefault="00240CEE" w:rsidP="00240CEE">
      <w:pPr>
        <w:jc w:val="both"/>
        <w:rPr>
          <w:lang w:val="es-ES_tradnl"/>
        </w:rPr>
      </w:pPr>
      <w:r>
        <w:rPr>
          <w:lang w:val="es-ES_tradnl"/>
        </w:rPr>
        <w:t xml:space="preserve">Los siniestros como lo es el </w:t>
      </w:r>
      <w:r w:rsidRPr="00DC2E77">
        <w:rPr>
          <w:lang w:val="es-ES_tradnl"/>
        </w:rPr>
        <w:t>caso de la explosión de varios carros tanque de gasolina, cantidad que a</w:t>
      </w:r>
      <w:r>
        <w:rPr>
          <w:lang w:val="es-ES_tradnl"/>
        </w:rPr>
        <w:t>sciende a 285 millones de pesos; otro siniestro sería el terremoto que sacudió Oaxaca y Chiapas en 2017, afectando las vías y por consiguiente la operación de la misma.</w:t>
      </w:r>
    </w:p>
    <w:p w:rsidR="00A5517D" w:rsidRDefault="00A5517D" w:rsidP="00A5517D">
      <w:pPr>
        <w:pStyle w:val="Ttulo1"/>
        <w:numPr>
          <w:ilvl w:val="0"/>
          <w:numId w:val="6"/>
        </w:numPr>
        <w:ind w:right="-376" w:hanging="76"/>
        <w:rPr>
          <w:rFonts w:asciiTheme="minorHAnsi" w:hAnsiTheme="minorHAnsi"/>
          <w:sz w:val="24"/>
          <w:lang w:val="es-ES_tradnl"/>
        </w:rPr>
      </w:pPr>
      <w:bookmarkStart w:id="66" w:name="_Toc498519510"/>
      <w:r w:rsidRPr="00A5517D">
        <w:rPr>
          <w:rFonts w:asciiTheme="minorHAnsi" w:hAnsiTheme="minorHAnsi"/>
          <w:sz w:val="24"/>
          <w:lang w:val="es-ES_tradnl"/>
        </w:rPr>
        <w:t>Indicadores de rentabilidad</w:t>
      </w:r>
      <w:r>
        <w:rPr>
          <w:rFonts w:asciiTheme="minorHAnsi" w:hAnsiTheme="minorHAnsi"/>
          <w:sz w:val="24"/>
          <w:lang w:val="es-ES_tradnl"/>
        </w:rPr>
        <w:t>.</w:t>
      </w:r>
      <w:bookmarkEnd w:id="66"/>
    </w:p>
    <w:p w:rsidR="00240CEE" w:rsidRDefault="00353FBC" w:rsidP="00240CEE">
      <w:pPr>
        <w:spacing w:after="0" w:line="240" w:lineRule="auto"/>
        <w:jc w:val="both"/>
        <w:rPr>
          <w:lang w:eastAsia="en-AU"/>
        </w:rPr>
      </w:pPr>
      <w:r>
        <w:rPr>
          <w:lang w:eastAsia="en-AU"/>
        </w:rPr>
        <w:t>Como se puede observar en el planteamiento del proyecto se contaba con buenos indicadores de rentabilidad siendo estos una TIR de 13.2 y un VPN de $ 34, 690,028.86 mdp; los cuales se mantienen en lo que va del horizonte de evaluación siendo estos una TIR d 21.2% y un VPN de $ 138,067,623.47 mdp.</w:t>
      </w:r>
    </w:p>
    <w:p w:rsidR="00240CEE" w:rsidRDefault="00240CEE" w:rsidP="00240CEE">
      <w:pPr>
        <w:spacing w:after="0" w:line="240" w:lineRule="auto"/>
        <w:jc w:val="both"/>
        <w:rPr>
          <w:lang w:eastAsia="en-AU"/>
        </w:rPr>
      </w:pPr>
    </w:p>
    <w:p w:rsidR="00353FBC" w:rsidRPr="00D538BC" w:rsidRDefault="00240CEE" w:rsidP="00353FBC">
      <w:pPr>
        <w:pStyle w:val="Ttulo3"/>
        <w:jc w:val="center"/>
        <w:rPr>
          <w:color w:val="auto"/>
          <w:sz w:val="20"/>
          <w:szCs w:val="20"/>
        </w:rPr>
      </w:pPr>
      <w:bookmarkStart w:id="67" w:name="_Toc454708698"/>
      <w:bookmarkStart w:id="68" w:name="_Toc498519511"/>
      <w:r w:rsidRPr="00D538BC">
        <w:rPr>
          <w:color w:val="auto"/>
          <w:sz w:val="20"/>
          <w:szCs w:val="20"/>
        </w:rPr>
        <w:t>T</w:t>
      </w:r>
      <w:r>
        <w:rPr>
          <w:color w:val="auto"/>
          <w:sz w:val="20"/>
          <w:szCs w:val="20"/>
        </w:rPr>
        <w:t>abla</w:t>
      </w:r>
      <w:r w:rsidR="00353FBC">
        <w:rPr>
          <w:color w:val="auto"/>
          <w:sz w:val="20"/>
          <w:szCs w:val="20"/>
        </w:rPr>
        <w:t xml:space="preserve"> </w:t>
      </w:r>
      <w:r w:rsidR="002B3FD4">
        <w:rPr>
          <w:color w:val="auto"/>
          <w:sz w:val="20"/>
          <w:szCs w:val="20"/>
        </w:rPr>
        <w:t>17</w:t>
      </w:r>
      <w:r w:rsidR="00353FBC">
        <w:rPr>
          <w:color w:val="auto"/>
          <w:sz w:val="20"/>
          <w:szCs w:val="20"/>
        </w:rPr>
        <w:t>. Indicadores Ex Ante</w:t>
      </w:r>
      <w:r>
        <w:rPr>
          <w:color w:val="auto"/>
          <w:sz w:val="20"/>
          <w:szCs w:val="20"/>
        </w:rPr>
        <w:t xml:space="preserve"> (a precios de 200</w:t>
      </w:r>
      <w:r w:rsidR="00353FBC">
        <w:rPr>
          <w:color w:val="auto"/>
          <w:sz w:val="20"/>
          <w:szCs w:val="20"/>
        </w:rPr>
        <w:t>9</w:t>
      </w:r>
      <w:r w:rsidRPr="00D538BC">
        <w:rPr>
          <w:color w:val="auto"/>
          <w:sz w:val="20"/>
          <w:szCs w:val="20"/>
        </w:rPr>
        <w:t>)</w:t>
      </w:r>
      <w:bookmarkEnd w:id="67"/>
      <w:bookmarkEnd w:id="68"/>
    </w:p>
    <w:tbl>
      <w:tblPr>
        <w:tblW w:w="0" w:type="auto"/>
        <w:jc w:val="center"/>
        <w:tblCellMar>
          <w:left w:w="70" w:type="dxa"/>
          <w:right w:w="70" w:type="dxa"/>
        </w:tblCellMar>
        <w:tblLook w:val="04A0" w:firstRow="1" w:lastRow="0" w:firstColumn="1" w:lastColumn="0" w:noHBand="0" w:noVBand="1"/>
      </w:tblPr>
      <w:tblGrid>
        <w:gridCol w:w="588"/>
        <w:gridCol w:w="1401"/>
        <w:gridCol w:w="588"/>
      </w:tblGrid>
      <w:tr w:rsidR="00353FBC" w:rsidRPr="00353FBC" w:rsidTr="00353FB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C00000"/>
            <w:vAlign w:val="center"/>
            <w:hideMark/>
          </w:tcPr>
          <w:p w:rsidR="00353FBC" w:rsidRPr="00353FBC" w:rsidRDefault="00353FBC" w:rsidP="00353FBC">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TIR</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rsidR="00353FBC" w:rsidRPr="00353FBC" w:rsidRDefault="00353FBC" w:rsidP="00353FBC">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VPN</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rsidR="00353FBC" w:rsidRPr="00353FBC" w:rsidRDefault="00353FBC" w:rsidP="00353FBC">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TRI</w:t>
            </w:r>
          </w:p>
        </w:tc>
      </w:tr>
      <w:tr w:rsidR="00353FBC" w:rsidRPr="00353FBC" w:rsidTr="00353FB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53FBC" w:rsidRPr="00353FBC" w:rsidRDefault="00353FBC" w:rsidP="00353FBC">
            <w:pPr>
              <w:spacing w:after="0" w:line="240" w:lineRule="auto"/>
              <w:jc w:val="right"/>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13.2%</w:t>
            </w:r>
          </w:p>
        </w:tc>
        <w:tc>
          <w:tcPr>
            <w:tcW w:w="0" w:type="auto"/>
            <w:tcBorders>
              <w:top w:val="nil"/>
              <w:left w:val="nil"/>
              <w:bottom w:val="single" w:sz="4" w:space="0" w:color="auto"/>
              <w:right w:val="single" w:sz="4" w:space="0" w:color="auto"/>
            </w:tcBorders>
            <w:shd w:val="clear" w:color="auto" w:fill="auto"/>
            <w:noWrap/>
            <w:vAlign w:val="bottom"/>
            <w:hideMark/>
          </w:tcPr>
          <w:p w:rsidR="00353FBC" w:rsidRPr="00353FBC" w:rsidRDefault="00353FBC" w:rsidP="00353FBC">
            <w:pPr>
              <w:spacing w:after="0" w:line="240" w:lineRule="auto"/>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 xml:space="preserve"> $  34,690,028.86 </w:t>
            </w:r>
          </w:p>
        </w:tc>
        <w:tc>
          <w:tcPr>
            <w:tcW w:w="0" w:type="auto"/>
            <w:tcBorders>
              <w:top w:val="nil"/>
              <w:left w:val="nil"/>
              <w:bottom w:val="single" w:sz="4" w:space="0" w:color="auto"/>
              <w:right w:val="single" w:sz="4" w:space="0" w:color="auto"/>
            </w:tcBorders>
            <w:shd w:val="clear" w:color="auto" w:fill="auto"/>
            <w:noWrap/>
            <w:vAlign w:val="bottom"/>
            <w:hideMark/>
          </w:tcPr>
          <w:p w:rsidR="00353FBC" w:rsidRPr="00353FBC" w:rsidRDefault="00353FBC" w:rsidP="00353FBC">
            <w:pPr>
              <w:spacing w:after="0" w:line="240" w:lineRule="auto"/>
              <w:jc w:val="right"/>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15.4%</w:t>
            </w:r>
          </w:p>
        </w:tc>
      </w:tr>
    </w:tbl>
    <w:p w:rsidR="00240CEE" w:rsidRPr="00240CEE" w:rsidRDefault="00240CEE" w:rsidP="00353FBC">
      <w:pPr>
        <w:jc w:val="center"/>
        <w:rPr>
          <w:sz w:val="18"/>
          <w:szCs w:val="18"/>
          <w:lang w:eastAsia="en-AU"/>
        </w:rPr>
      </w:pPr>
      <w:r w:rsidRPr="00240CEE">
        <w:rPr>
          <w:sz w:val="18"/>
          <w:szCs w:val="18"/>
          <w:lang w:eastAsia="en-AU"/>
        </w:rPr>
        <w:t>Fuente: Elaboración propia con datos de Ferrocarril del Istmo de Tehuantepec, S.A. de C.V.</w:t>
      </w:r>
    </w:p>
    <w:p w:rsidR="00353FBC" w:rsidRPr="00D538BC" w:rsidRDefault="00240CEE" w:rsidP="00353FBC">
      <w:pPr>
        <w:pStyle w:val="Ttulo3"/>
        <w:jc w:val="center"/>
        <w:rPr>
          <w:color w:val="auto"/>
          <w:sz w:val="20"/>
          <w:szCs w:val="20"/>
        </w:rPr>
      </w:pPr>
      <w:bookmarkStart w:id="69" w:name="_Toc454708699"/>
      <w:bookmarkStart w:id="70" w:name="_Toc498519512"/>
      <w:r w:rsidRPr="00D538BC">
        <w:rPr>
          <w:color w:val="auto"/>
          <w:sz w:val="20"/>
          <w:szCs w:val="20"/>
        </w:rPr>
        <w:t>T</w:t>
      </w:r>
      <w:r>
        <w:rPr>
          <w:color w:val="auto"/>
          <w:sz w:val="20"/>
          <w:szCs w:val="20"/>
        </w:rPr>
        <w:t>abla</w:t>
      </w:r>
      <w:r w:rsidR="002B3FD4">
        <w:rPr>
          <w:color w:val="auto"/>
          <w:sz w:val="20"/>
          <w:szCs w:val="20"/>
        </w:rPr>
        <w:t>18</w:t>
      </w:r>
      <w:r>
        <w:rPr>
          <w:color w:val="auto"/>
          <w:sz w:val="20"/>
          <w:szCs w:val="20"/>
        </w:rPr>
        <w:t>. Indicadores Ex Ante (a precios de 201</w:t>
      </w:r>
      <w:r w:rsidR="00353FBC">
        <w:rPr>
          <w:color w:val="auto"/>
          <w:sz w:val="20"/>
          <w:szCs w:val="20"/>
        </w:rPr>
        <w:t>7</w:t>
      </w:r>
      <w:r w:rsidRPr="00D538BC">
        <w:rPr>
          <w:color w:val="auto"/>
          <w:sz w:val="20"/>
          <w:szCs w:val="20"/>
        </w:rPr>
        <w:t>)</w:t>
      </w:r>
      <w:bookmarkEnd w:id="69"/>
      <w:bookmarkEnd w:id="70"/>
    </w:p>
    <w:tbl>
      <w:tblPr>
        <w:tblW w:w="0" w:type="auto"/>
        <w:jc w:val="center"/>
        <w:tblCellMar>
          <w:left w:w="70" w:type="dxa"/>
          <w:right w:w="70" w:type="dxa"/>
        </w:tblCellMar>
        <w:tblLook w:val="04A0" w:firstRow="1" w:lastRow="0" w:firstColumn="1" w:lastColumn="0" w:noHBand="0" w:noVBand="1"/>
      </w:tblPr>
      <w:tblGrid>
        <w:gridCol w:w="588"/>
        <w:gridCol w:w="1401"/>
        <w:gridCol w:w="588"/>
      </w:tblGrid>
      <w:tr w:rsidR="00353FBC" w:rsidRPr="00353FBC" w:rsidTr="00353FB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C00000"/>
            <w:vAlign w:val="center"/>
            <w:hideMark/>
          </w:tcPr>
          <w:p w:rsidR="00353FBC" w:rsidRPr="00353FBC" w:rsidRDefault="00353FBC" w:rsidP="00353FBC">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TIR</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rsidR="00353FBC" w:rsidRPr="00353FBC" w:rsidRDefault="00353FBC" w:rsidP="00353FBC">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VPN</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rsidR="00353FBC" w:rsidRPr="00353FBC" w:rsidRDefault="00353FBC" w:rsidP="00353FBC">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TRI</w:t>
            </w:r>
          </w:p>
        </w:tc>
      </w:tr>
      <w:tr w:rsidR="00353FBC" w:rsidRPr="00353FBC" w:rsidTr="00353FB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53FBC" w:rsidRPr="00353FBC" w:rsidRDefault="00353FBC" w:rsidP="00353FBC">
            <w:pPr>
              <w:spacing w:after="0" w:line="240" w:lineRule="auto"/>
              <w:jc w:val="right"/>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13.2%</w:t>
            </w:r>
          </w:p>
        </w:tc>
        <w:tc>
          <w:tcPr>
            <w:tcW w:w="0" w:type="auto"/>
            <w:tcBorders>
              <w:top w:val="nil"/>
              <w:left w:val="nil"/>
              <w:bottom w:val="single" w:sz="4" w:space="0" w:color="auto"/>
              <w:right w:val="single" w:sz="4" w:space="0" w:color="auto"/>
            </w:tcBorders>
            <w:shd w:val="clear" w:color="auto" w:fill="auto"/>
            <w:noWrap/>
            <w:vAlign w:val="bottom"/>
            <w:hideMark/>
          </w:tcPr>
          <w:p w:rsidR="00353FBC" w:rsidRPr="00353FBC" w:rsidRDefault="00353FBC" w:rsidP="00353FBC">
            <w:pPr>
              <w:spacing w:after="0" w:line="240" w:lineRule="auto"/>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 xml:space="preserve"> $  46,326,627.91 </w:t>
            </w:r>
          </w:p>
        </w:tc>
        <w:tc>
          <w:tcPr>
            <w:tcW w:w="0" w:type="auto"/>
            <w:tcBorders>
              <w:top w:val="nil"/>
              <w:left w:val="nil"/>
              <w:bottom w:val="single" w:sz="4" w:space="0" w:color="auto"/>
              <w:right w:val="single" w:sz="4" w:space="0" w:color="auto"/>
            </w:tcBorders>
            <w:shd w:val="clear" w:color="auto" w:fill="auto"/>
            <w:noWrap/>
            <w:vAlign w:val="bottom"/>
            <w:hideMark/>
          </w:tcPr>
          <w:p w:rsidR="00353FBC" w:rsidRPr="00353FBC" w:rsidRDefault="00353FBC" w:rsidP="00353FBC">
            <w:pPr>
              <w:spacing w:after="0" w:line="240" w:lineRule="auto"/>
              <w:jc w:val="right"/>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15.4%</w:t>
            </w:r>
          </w:p>
        </w:tc>
      </w:tr>
    </w:tbl>
    <w:p w:rsidR="00240CEE" w:rsidRDefault="00240CEE" w:rsidP="00353FBC">
      <w:pPr>
        <w:jc w:val="center"/>
        <w:rPr>
          <w:sz w:val="18"/>
          <w:szCs w:val="18"/>
          <w:lang w:eastAsia="en-AU"/>
        </w:rPr>
      </w:pPr>
      <w:r w:rsidRPr="00240CEE">
        <w:rPr>
          <w:sz w:val="18"/>
          <w:szCs w:val="18"/>
          <w:lang w:eastAsia="en-AU"/>
        </w:rPr>
        <w:t>Fuente: Elaboración propia con datos de Ferrocarril del Istmo de Tehuantepec, S.A. de C.V.</w:t>
      </w:r>
    </w:p>
    <w:p w:rsidR="00353FBC" w:rsidRPr="00D538BC" w:rsidRDefault="00353FBC" w:rsidP="00353FBC">
      <w:pPr>
        <w:pStyle w:val="Ttulo3"/>
        <w:jc w:val="center"/>
        <w:rPr>
          <w:color w:val="auto"/>
          <w:sz w:val="20"/>
          <w:szCs w:val="20"/>
        </w:rPr>
      </w:pPr>
      <w:bookmarkStart w:id="71" w:name="_Toc498519513"/>
      <w:r w:rsidRPr="00D538BC">
        <w:rPr>
          <w:color w:val="auto"/>
          <w:sz w:val="20"/>
          <w:szCs w:val="20"/>
        </w:rPr>
        <w:t>T</w:t>
      </w:r>
      <w:r>
        <w:rPr>
          <w:color w:val="auto"/>
          <w:sz w:val="20"/>
          <w:szCs w:val="20"/>
        </w:rPr>
        <w:t xml:space="preserve">abla </w:t>
      </w:r>
      <w:r w:rsidR="002B3FD4">
        <w:rPr>
          <w:color w:val="auto"/>
          <w:sz w:val="20"/>
          <w:szCs w:val="20"/>
        </w:rPr>
        <w:t>19</w:t>
      </w:r>
      <w:r>
        <w:rPr>
          <w:color w:val="auto"/>
          <w:sz w:val="20"/>
          <w:szCs w:val="20"/>
        </w:rPr>
        <w:t>. Indicadores Ex Post (a precios de 2009</w:t>
      </w:r>
      <w:r w:rsidRPr="00D538BC">
        <w:rPr>
          <w:color w:val="auto"/>
          <w:sz w:val="20"/>
          <w:szCs w:val="20"/>
        </w:rPr>
        <w:t>)</w:t>
      </w:r>
      <w:bookmarkEnd w:id="71"/>
    </w:p>
    <w:tbl>
      <w:tblPr>
        <w:tblW w:w="0" w:type="auto"/>
        <w:jc w:val="center"/>
        <w:tblCellMar>
          <w:left w:w="70" w:type="dxa"/>
          <w:right w:w="70" w:type="dxa"/>
        </w:tblCellMar>
        <w:tblLook w:val="04A0" w:firstRow="1" w:lastRow="0" w:firstColumn="1" w:lastColumn="0" w:noHBand="0" w:noVBand="1"/>
      </w:tblPr>
      <w:tblGrid>
        <w:gridCol w:w="588"/>
        <w:gridCol w:w="1493"/>
        <w:gridCol w:w="497"/>
      </w:tblGrid>
      <w:tr w:rsidR="00353FBC" w:rsidRPr="00353FBC" w:rsidTr="002B3FD4">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C00000"/>
            <w:vAlign w:val="center"/>
            <w:hideMark/>
          </w:tcPr>
          <w:p w:rsidR="00353FBC" w:rsidRPr="00353FBC" w:rsidRDefault="00353FBC" w:rsidP="002B3FD4">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TIR</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rsidR="00353FBC" w:rsidRPr="00353FBC" w:rsidRDefault="00353FBC" w:rsidP="002B3FD4">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VPN</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rsidR="00353FBC" w:rsidRPr="00353FBC" w:rsidRDefault="00353FBC" w:rsidP="002B3FD4">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TRI</w:t>
            </w:r>
          </w:p>
        </w:tc>
      </w:tr>
      <w:tr w:rsidR="00353FBC" w:rsidRPr="00353FBC" w:rsidTr="002B3FD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53FBC" w:rsidRPr="00353FBC" w:rsidRDefault="00353FBC" w:rsidP="002B3FD4">
            <w:pPr>
              <w:spacing w:after="0" w:line="240" w:lineRule="auto"/>
              <w:jc w:val="right"/>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21.2%</w:t>
            </w:r>
          </w:p>
        </w:tc>
        <w:tc>
          <w:tcPr>
            <w:tcW w:w="0" w:type="auto"/>
            <w:tcBorders>
              <w:top w:val="nil"/>
              <w:left w:val="nil"/>
              <w:bottom w:val="single" w:sz="4" w:space="0" w:color="auto"/>
              <w:right w:val="single" w:sz="4" w:space="0" w:color="auto"/>
            </w:tcBorders>
            <w:shd w:val="clear" w:color="auto" w:fill="auto"/>
            <w:noWrap/>
            <w:vAlign w:val="bottom"/>
            <w:hideMark/>
          </w:tcPr>
          <w:p w:rsidR="00353FBC" w:rsidRPr="00353FBC" w:rsidRDefault="00353FBC" w:rsidP="002B3FD4">
            <w:pPr>
              <w:spacing w:after="0" w:line="240" w:lineRule="auto"/>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 xml:space="preserve"> $  138,067,623.47 </w:t>
            </w:r>
          </w:p>
        </w:tc>
        <w:tc>
          <w:tcPr>
            <w:tcW w:w="0" w:type="auto"/>
            <w:tcBorders>
              <w:top w:val="nil"/>
              <w:left w:val="nil"/>
              <w:bottom w:val="single" w:sz="4" w:space="0" w:color="auto"/>
              <w:right w:val="single" w:sz="4" w:space="0" w:color="auto"/>
            </w:tcBorders>
            <w:shd w:val="clear" w:color="auto" w:fill="auto"/>
            <w:noWrap/>
            <w:vAlign w:val="bottom"/>
            <w:hideMark/>
          </w:tcPr>
          <w:p w:rsidR="00353FBC" w:rsidRPr="00353FBC" w:rsidRDefault="00353FBC" w:rsidP="002B3FD4">
            <w:pPr>
              <w:spacing w:after="0" w:line="240" w:lineRule="auto"/>
              <w:jc w:val="right"/>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2.3%</w:t>
            </w:r>
          </w:p>
        </w:tc>
      </w:tr>
    </w:tbl>
    <w:p w:rsidR="00353FBC" w:rsidRPr="00240CEE" w:rsidRDefault="00353FBC" w:rsidP="00353FBC">
      <w:pPr>
        <w:jc w:val="center"/>
        <w:rPr>
          <w:sz w:val="18"/>
          <w:szCs w:val="18"/>
          <w:lang w:eastAsia="en-AU"/>
        </w:rPr>
      </w:pPr>
    </w:p>
    <w:p w:rsidR="00353FBC" w:rsidRDefault="00240CEE" w:rsidP="00353FBC">
      <w:pPr>
        <w:pStyle w:val="Ttulo3"/>
        <w:jc w:val="center"/>
        <w:rPr>
          <w:color w:val="auto"/>
          <w:sz w:val="20"/>
          <w:szCs w:val="20"/>
        </w:rPr>
      </w:pPr>
      <w:bookmarkStart w:id="72" w:name="_Toc454708700"/>
      <w:bookmarkStart w:id="73" w:name="_Toc498519514"/>
      <w:r w:rsidRPr="00D538BC">
        <w:rPr>
          <w:color w:val="auto"/>
          <w:sz w:val="20"/>
          <w:szCs w:val="20"/>
        </w:rPr>
        <w:t>T</w:t>
      </w:r>
      <w:r>
        <w:rPr>
          <w:color w:val="auto"/>
          <w:sz w:val="20"/>
          <w:szCs w:val="20"/>
        </w:rPr>
        <w:t>abla</w:t>
      </w:r>
      <w:r w:rsidR="00353FBC">
        <w:rPr>
          <w:color w:val="auto"/>
          <w:sz w:val="20"/>
          <w:szCs w:val="20"/>
        </w:rPr>
        <w:t xml:space="preserve"> </w:t>
      </w:r>
      <w:r w:rsidR="002B3FD4">
        <w:rPr>
          <w:color w:val="auto"/>
          <w:sz w:val="20"/>
          <w:szCs w:val="20"/>
        </w:rPr>
        <w:t>20</w:t>
      </w:r>
      <w:r>
        <w:rPr>
          <w:color w:val="auto"/>
          <w:sz w:val="20"/>
          <w:szCs w:val="20"/>
        </w:rPr>
        <w:t>.</w:t>
      </w:r>
      <w:r w:rsidR="00353FBC">
        <w:rPr>
          <w:color w:val="auto"/>
          <w:sz w:val="20"/>
          <w:szCs w:val="20"/>
        </w:rPr>
        <w:t xml:space="preserve"> Indicadores Ex Post</w:t>
      </w:r>
      <w:r>
        <w:rPr>
          <w:color w:val="auto"/>
          <w:sz w:val="20"/>
          <w:szCs w:val="20"/>
        </w:rPr>
        <w:t>(a precios de 201</w:t>
      </w:r>
      <w:r w:rsidR="00353FBC">
        <w:rPr>
          <w:color w:val="auto"/>
          <w:sz w:val="20"/>
          <w:szCs w:val="20"/>
        </w:rPr>
        <w:t>7</w:t>
      </w:r>
      <w:r w:rsidRPr="00D538BC">
        <w:rPr>
          <w:color w:val="auto"/>
          <w:sz w:val="20"/>
          <w:szCs w:val="20"/>
        </w:rPr>
        <w:t>)</w:t>
      </w:r>
      <w:bookmarkEnd w:id="72"/>
      <w:bookmarkEnd w:id="73"/>
    </w:p>
    <w:tbl>
      <w:tblPr>
        <w:tblW w:w="0" w:type="auto"/>
        <w:jc w:val="center"/>
        <w:tblCellMar>
          <w:left w:w="70" w:type="dxa"/>
          <w:right w:w="70" w:type="dxa"/>
        </w:tblCellMar>
        <w:tblLook w:val="04A0" w:firstRow="1" w:lastRow="0" w:firstColumn="1" w:lastColumn="0" w:noHBand="0" w:noVBand="1"/>
      </w:tblPr>
      <w:tblGrid>
        <w:gridCol w:w="588"/>
        <w:gridCol w:w="1493"/>
        <w:gridCol w:w="497"/>
      </w:tblGrid>
      <w:tr w:rsidR="00353FBC" w:rsidRPr="00353FBC" w:rsidTr="002B3FD4">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C00000"/>
            <w:vAlign w:val="center"/>
            <w:hideMark/>
          </w:tcPr>
          <w:p w:rsidR="00353FBC" w:rsidRPr="00353FBC" w:rsidRDefault="00353FBC" w:rsidP="002B3FD4">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TIR</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rsidR="00353FBC" w:rsidRPr="00353FBC" w:rsidRDefault="00353FBC" w:rsidP="002B3FD4">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VPN</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rsidR="00353FBC" w:rsidRPr="00353FBC" w:rsidRDefault="00353FBC" w:rsidP="002B3FD4">
            <w:pPr>
              <w:spacing w:after="0" w:line="240" w:lineRule="auto"/>
              <w:jc w:val="center"/>
              <w:rPr>
                <w:rFonts w:ascii="Calibri" w:eastAsia="Times New Roman" w:hAnsi="Calibri" w:cs="Calibri"/>
                <w:b/>
                <w:bCs/>
                <w:color w:val="FFFFFF"/>
                <w:sz w:val="18"/>
                <w:lang w:eastAsia="es-MX"/>
              </w:rPr>
            </w:pPr>
            <w:r w:rsidRPr="00353FBC">
              <w:rPr>
                <w:rFonts w:ascii="Calibri" w:eastAsia="Times New Roman" w:hAnsi="Calibri" w:cs="Calibri"/>
                <w:b/>
                <w:bCs/>
                <w:color w:val="FFFFFF"/>
                <w:sz w:val="18"/>
                <w:lang w:eastAsia="es-MX"/>
              </w:rPr>
              <w:t>TRI</w:t>
            </w:r>
          </w:p>
        </w:tc>
      </w:tr>
      <w:tr w:rsidR="00353FBC" w:rsidRPr="00353FBC" w:rsidTr="002B3FD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53FBC" w:rsidRPr="00353FBC" w:rsidRDefault="00353FBC" w:rsidP="002B3FD4">
            <w:pPr>
              <w:spacing w:after="0" w:line="240" w:lineRule="auto"/>
              <w:jc w:val="right"/>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22.3%</w:t>
            </w:r>
          </w:p>
        </w:tc>
        <w:tc>
          <w:tcPr>
            <w:tcW w:w="0" w:type="auto"/>
            <w:tcBorders>
              <w:top w:val="nil"/>
              <w:left w:val="nil"/>
              <w:bottom w:val="single" w:sz="4" w:space="0" w:color="auto"/>
              <w:right w:val="single" w:sz="4" w:space="0" w:color="auto"/>
            </w:tcBorders>
            <w:shd w:val="clear" w:color="auto" w:fill="auto"/>
            <w:noWrap/>
            <w:vAlign w:val="bottom"/>
            <w:hideMark/>
          </w:tcPr>
          <w:p w:rsidR="00353FBC" w:rsidRPr="00353FBC" w:rsidRDefault="00353FBC" w:rsidP="002B3FD4">
            <w:pPr>
              <w:spacing w:after="0" w:line="240" w:lineRule="auto"/>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 xml:space="preserve"> $  204,019,450.23 </w:t>
            </w:r>
          </w:p>
        </w:tc>
        <w:tc>
          <w:tcPr>
            <w:tcW w:w="0" w:type="auto"/>
            <w:tcBorders>
              <w:top w:val="nil"/>
              <w:left w:val="nil"/>
              <w:bottom w:val="single" w:sz="4" w:space="0" w:color="auto"/>
              <w:right w:val="single" w:sz="4" w:space="0" w:color="auto"/>
            </w:tcBorders>
            <w:shd w:val="clear" w:color="auto" w:fill="auto"/>
            <w:noWrap/>
            <w:vAlign w:val="bottom"/>
            <w:hideMark/>
          </w:tcPr>
          <w:p w:rsidR="00353FBC" w:rsidRPr="00353FBC" w:rsidRDefault="00353FBC" w:rsidP="002B3FD4">
            <w:pPr>
              <w:spacing w:after="0" w:line="240" w:lineRule="auto"/>
              <w:jc w:val="right"/>
              <w:rPr>
                <w:rFonts w:ascii="Calibri" w:eastAsia="Times New Roman" w:hAnsi="Calibri" w:cs="Calibri"/>
                <w:color w:val="000000"/>
                <w:sz w:val="18"/>
                <w:lang w:eastAsia="es-MX"/>
              </w:rPr>
            </w:pPr>
            <w:r w:rsidRPr="00353FBC">
              <w:rPr>
                <w:rFonts w:ascii="Calibri" w:eastAsia="Times New Roman" w:hAnsi="Calibri" w:cs="Calibri"/>
                <w:color w:val="000000"/>
                <w:sz w:val="18"/>
                <w:lang w:eastAsia="es-MX"/>
              </w:rPr>
              <w:t>2.1%</w:t>
            </w:r>
          </w:p>
        </w:tc>
      </w:tr>
    </w:tbl>
    <w:p w:rsidR="00240CEE" w:rsidRPr="00240CEE" w:rsidRDefault="00240CEE" w:rsidP="00353FBC">
      <w:pPr>
        <w:jc w:val="center"/>
        <w:rPr>
          <w:sz w:val="18"/>
          <w:szCs w:val="18"/>
          <w:lang w:eastAsia="en-AU"/>
        </w:rPr>
      </w:pPr>
      <w:r w:rsidRPr="00240CEE">
        <w:rPr>
          <w:sz w:val="18"/>
          <w:szCs w:val="18"/>
          <w:lang w:eastAsia="en-AU"/>
        </w:rPr>
        <w:t>Fuente: Elaboración propia con datos de Ferrocarril del Istmo de Tehuantepec, S.A. de C.V.</w:t>
      </w:r>
    </w:p>
    <w:p w:rsidR="00240CEE" w:rsidRDefault="00240CEE" w:rsidP="00240CEE">
      <w:pPr>
        <w:spacing w:after="0" w:line="240" w:lineRule="auto"/>
        <w:jc w:val="both"/>
        <w:rPr>
          <w:lang w:eastAsia="en-AU"/>
        </w:rPr>
      </w:pPr>
    </w:p>
    <w:p w:rsidR="00A5517D" w:rsidRDefault="00353FBC" w:rsidP="00A5517D">
      <w:pPr>
        <w:rPr>
          <w:lang w:eastAsia="en-AU"/>
        </w:rPr>
      </w:pPr>
      <w:r>
        <w:rPr>
          <w:lang w:eastAsia="en-AU"/>
        </w:rPr>
        <w:t xml:space="preserve">También se observa que debido a que se efectuó un a inversión a más años de los planeados, la TRI se ve severamente afectada, cayendo de 15.4% a un 2.3%, esta mala ejecución se ve </w:t>
      </w:r>
      <w:r w:rsidR="002B3FD4">
        <w:rPr>
          <w:lang w:eastAsia="en-AU"/>
        </w:rPr>
        <w:t>contrarrestada con los ahorros de inversión siendo muy positivos los demás indicadores.</w:t>
      </w:r>
    </w:p>
    <w:p w:rsidR="002B3FD4" w:rsidRDefault="002B3FD4" w:rsidP="00A5517D">
      <w:pPr>
        <w:rPr>
          <w:lang w:eastAsia="en-AU"/>
        </w:rPr>
      </w:pPr>
    </w:p>
    <w:p w:rsidR="002B3FD4" w:rsidRDefault="002B3FD4" w:rsidP="00A5517D">
      <w:pPr>
        <w:rPr>
          <w:lang w:eastAsia="en-AU"/>
        </w:rPr>
      </w:pPr>
    </w:p>
    <w:p w:rsidR="002B3FD4" w:rsidRDefault="002B3FD4" w:rsidP="00A5517D">
      <w:pPr>
        <w:rPr>
          <w:lang w:val="es-ES_tradnl"/>
        </w:rPr>
      </w:pPr>
    </w:p>
    <w:p w:rsidR="00A5517D" w:rsidRDefault="00A5517D" w:rsidP="00A5517D">
      <w:pPr>
        <w:pStyle w:val="Ttulo1"/>
        <w:numPr>
          <w:ilvl w:val="0"/>
          <w:numId w:val="6"/>
        </w:numPr>
        <w:ind w:right="-376" w:hanging="76"/>
        <w:rPr>
          <w:rFonts w:asciiTheme="minorHAnsi" w:hAnsiTheme="minorHAnsi"/>
          <w:sz w:val="24"/>
          <w:lang w:val="es-ES_tradnl"/>
        </w:rPr>
      </w:pPr>
      <w:bookmarkStart w:id="74" w:name="_Toc498519515"/>
      <w:r w:rsidRPr="00A5517D">
        <w:rPr>
          <w:rFonts w:asciiTheme="minorHAnsi" w:hAnsiTheme="minorHAnsi"/>
          <w:sz w:val="24"/>
          <w:lang w:val="es-ES_tradnl"/>
        </w:rPr>
        <w:lastRenderedPageBreak/>
        <w:t>Desviaciones en el cumplimiento</w:t>
      </w:r>
      <w:r>
        <w:rPr>
          <w:rFonts w:asciiTheme="minorHAnsi" w:hAnsiTheme="minorHAnsi"/>
          <w:sz w:val="24"/>
          <w:lang w:val="es-ES_tradnl"/>
        </w:rPr>
        <w:t>.</w:t>
      </w:r>
      <w:bookmarkEnd w:id="74"/>
    </w:p>
    <w:p w:rsidR="00A5517D" w:rsidRDefault="00A5517D" w:rsidP="00A5517D">
      <w:pPr>
        <w:rPr>
          <w:lang w:val="es-ES_tradnl"/>
        </w:rPr>
      </w:pPr>
    </w:p>
    <w:p w:rsidR="00A5517D" w:rsidRDefault="00A5517D" w:rsidP="00A5517D">
      <w:pPr>
        <w:rPr>
          <w:lang w:val="es-ES_tradnl"/>
        </w:rPr>
      </w:pPr>
    </w:p>
    <w:p w:rsidR="00A5517D" w:rsidRPr="00A5517D" w:rsidRDefault="00A5517D" w:rsidP="00A5517D">
      <w:pPr>
        <w:pStyle w:val="Ttulo1"/>
        <w:numPr>
          <w:ilvl w:val="0"/>
          <w:numId w:val="6"/>
        </w:numPr>
        <w:ind w:right="-376" w:hanging="76"/>
        <w:rPr>
          <w:rFonts w:asciiTheme="minorHAnsi" w:hAnsiTheme="minorHAnsi"/>
          <w:sz w:val="24"/>
          <w:lang w:val="es-ES_tradnl"/>
        </w:rPr>
      </w:pPr>
      <w:bookmarkStart w:id="75" w:name="_Toc498519516"/>
      <w:r w:rsidRPr="00A5517D">
        <w:rPr>
          <w:rFonts w:asciiTheme="minorHAnsi" w:hAnsiTheme="minorHAnsi"/>
          <w:sz w:val="24"/>
          <w:lang w:val="es-ES_tradnl"/>
        </w:rPr>
        <w:t>Información ex ante y ex post.</w:t>
      </w:r>
      <w:bookmarkEnd w:id="75"/>
    </w:p>
    <w:p w:rsidR="00173A92" w:rsidRPr="00173A92" w:rsidRDefault="00173A92" w:rsidP="00173A92">
      <w:pPr>
        <w:pStyle w:val="Ttulo2"/>
        <w:rPr>
          <w:rFonts w:asciiTheme="minorHAnsi" w:hAnsiTheme="minorHAnsi" w:cstheme="minorHAnsi"/>
          <w:b/>
          <w:color w:val="auto"/>
          <w:sz w:val="22"/>
        </w:rPr>
      </w:pPr>
      <w:bookmarkStart w:id="76" w:name="_Toc498519517"/>
      <w:r w:rsidRPr="00173A92">
        <w:rPr>
          <w:rFonts w:asciiTheme="minorHAnsi" w:hAnsiTheme="minorHAnsi" w:cstheme="minorHAnsi"/>
          <w:b/>
          <w:color w:val="auto"/>
          <w:sz w:val="22"/>
        </w:rPr>
        <w:t>a) Antecedentes.</w:t>
      </w:r>
      <w:bookmarkEnd w:id="76"/>
    </w:p>
    <w:p w:rsidR="00173A92" w:rsidRDefault="00173A92" w:rsidP="00173A92">
      <w:pPr>
        <w:jc w:val="both"/>
      </w:pPr>
      <w:r>
        <w:t xml:space="preserve">En el año 1999 la empresa estadounidense Genesee &amp; Wyoming obtuvo la concesión del Ferrocarril Chiapas-Mayab por un periodo de 30 años.  Esta empresa decidió devolver la concesión al Gobierno Federal por resultarle incosteable, derivado de los daños causados por el huracán Stan en 2005. La Secretaría de Comunicaciones y Transportes decidió rehabilitar la vía de la costa de Chiapas y de esta forma dar continuidad a los servicios ferroviarios que anteriormente operaba Chiapas-Mayab. </w:t>
      </w:r>
    </w:p>
    <w:p w:rsidR="00173A92" w:rsidRDefault="00173A92" w:rsidP="00173A92">
      <w:pPr>
        <w:jc w:val="both"/>
      </w:pPr>
      <w:r>
        <w:t>Al ser rehabilitadas las vías del tren dentro de la ciudad de Tapachula resurgirá la problemática que se presentaba cuando el tren estaba en operación, ya que atraviesa una zona urbana provocando una serie de problemas e inconvenientes tanto para la población de la localidad, como para el propio ferrocarril. A continuación se mencionan los aspectos más importantes de esta problemática:</w:t>
      </w:r>
    </w:p>
    <w:p w:rsidR="00173A92" w:rsidRDefault="00173A92" w:rsidP="00173A92">
      <w:pPr>
        <w:pStyle w:val="Prrafodelista"/>
        <w:numPr>
          <w:ilvl w:val="0"/>
          <w:numId w:val="15"/>
        </w:numPr>
        <w:jc w:val="both"/>
      </w:pPr>
      <w:r>
        <w:t>Molestias a los predios aledaños a las vías</w:t>
      </w:r>
    </w:p>
    <w:p w:rsidR="00173A92" w:rsidRDefault="00173A92" w:rsidP="00173A92">
      <w:pPr>
        <w:pStyle w:val="Prrafodelista"/>
        <w:numPr>
          <w:ilvl w:val="0"/>
          <w:numId w:val="15"/>
        </w:numPr>
        <w:jc w:val="both"/>
      </w:pPr>
      <w:r>
        <w:t>Molestias a la población por congestiones viales</w:t>
      </w:r>
    </w:p>
    <w:p w:rsidR="00173A92" w:rsidRDefault="00173A92" w:rsidP="00173A92">
      <w:pPr>
        <w:pStyle w:val="Prrafodelista"/>
        <w:numPr>
          <w:ilvl w:val="0"/>
          <w:numId w:val="15"/>
        </w:numPr>
        <w:jc w:val="both"/>
      </w:pPr>
      <w:r>
        <w:t>Riesgo de explosiones y derrames</w:t>
      </w:r>
    </w:p>
    <w:p w:rsidR="00173A92" w:rsidRDefault="00173A92" w:rsidP="00173A92">
      <w:pPr>
        <w:pStyle w:val="Prrafodelista"/>
        <w:numPr>
          <w:ilvl w:val="0"/>
          <w:numId w:val="15"/>
        </w:numPr>
        <w:jc w:val="both"/>
      </w:pPr>
      <w:r>
        <w:t xml:space="preserve">Incremento en costos de operación y mantenimiento para el ferrocarril </w:t>
      </w:r>
    </w:p>
    <w:p w:rsidR="00173A92" w:rsidRDefault="00173A92" w:rsidP="00173A92">
      <w:pPr>
        <w:jc w:val="both"/>
      </w:pPr>
      <w:r>
        <w:t xml:space="preserve">Para atender esta situación, se plantea la construcción de un libramiento ferroviario en el lado sur poniente de la población; el libramiento propuesto, contempla la construcción de 11.1 kilómetros de vías al oeste de la ciudad de Tapachula, con la construcción de 3 puentes ferroviarios: uno sobre el Río </w:t>
      </w:r>
      <w:proofErr w:type="spellStart"/>
      <w:r>
        <w:t>Coatan</w:t>
      </w:r>
      <w:proofErr w:type="spellEnd"/>
      <w:r>
        <w:t xml:space="preserve">, otro sobre el Río Florido  y otro en la población Hidalgo, así mismo también contempla un paso inferior en la autopista que conecta Tapachula con Puerto Chiapas.  Además, el proyecto también considera la adquisición de los derechos de vía, la construcción de terracerías y obras de drenaje a lo largo de la ruta y el montaje de los rieles.  </w:t>
      </w:r>
    </w:p>
    <w:p w:rsidR="00173A92" w:rsidRDefault="00173A92" w:rsidP="00173A92">
      <w:pPr>
        <w:jc w:val="both"/>
      </w:pPr>
      <w:r>
        <w:t xml:space="preserve">Se consideró que la demanda en el proyecto será la misma que se tenía hasta antes del Huracán Stan, por lo que la demanda es la misma para las situaciones sin y con proyecto. La demanda que se proyecta para el año 2010 es de 565 mil toneladas, incluyendo productos como gasolina, </w:t>
      </w:r>
      <w:proofErr w:type="spellStart"/>
      <w:r>
        <w:t>diesel</w:t>
      </w:r>
      <w:proofErr w:type="spellEnd"/>
      <w:r>
        <w:t>, cemento, fertilizantes, envases de aluminio, gráneles agrícolas, etc.  Se contempló un crecimiento de la demanda del 3% anual, durante todo el horizonte de evaluación.</w:t>
      </w:r>
    </w:p>
    <w:p w:rsidR="00173A92" w:rsidRDefault="00173A92" w:rsidP="00173A92">
      <w:pPr>
        <w:jc w:val="both"/>
      </w:pPr>
    </w:p>
    <w:p w:rsidR="00173A92" w:rsidRDefault="00173A92" w:rsidP="00173A92">
      <w:pPr>
        <w:jc w:val="both"/>
      </w:pPr>
      <w:r>
        <w:t>Gracias a la entrada en operación del proyecto, se considera que se obtendrán los siguientes beneficios:</w:t>
      </w:r>
    </w:p>
    <w:p w:rsidR="00173A92" w:rsidRDefault="00173A92" w:rsidP="00173A92">
      <w:pPr>
        <w:pStyle w:val="Prrafodelista"/>
        <w:numPr>
          <w:ilvl w:val="0"/>
          <w:numId w:val="16"/>
        </w:numPr>
        <w:jc w:val="both"/>
      </w:pPr>
      <w:r>
        <w:t>Eliminación de las molestias en las viviendas aledañas a las vías</w:t>
      </w:r>
    </w:p>
    <w:p w:rsidR="00173A92" w:rsidRDefault="00173A92" w:rsidP="00173A92">
      <w:pPr>
        <w:pStyle w:val="Prrafodelista"/>
        <w:numPr>
          <w:ilvl w:val="0"/>
          <w:numId w:val="16"/>
        </w:numPr>
        <w:jc w:val="both"/>
      </w:pPr>
      <w:r>
        <w:t xml:space="preserve">Ahorros en costos de operación y mantenimiento del ferrocarril </w:t>
      </w:r>
    </w:p>
    <w:p w:rsidR="00173A92" w:rsidRDefault="00173A92" w:rsidP="00173A92">
      <w:pPr>
        <w:pStyle w:val="Prrafodelista"/>
        <w:numPr>
          <w:ilvl w:val="0"/>
          <w:numId w:val="16"/>
        </w:numPr>
        <w:jc w:val="both"/>
      </w:pPr>
      <w:r>
        <w:t>Valor de rescate de la vía actual</w:t>
      </w:r>
    </w:p>
    <w:p w:rsidR="00173A92" w:rsidRDefault="00173A92" w:rsidP="00173A92">
      <w:pPr>
        <w:pStyle w:val="Prrafodelista"/>
        <w:numPr>
          <w:ilvl w:val="0"/>
          <w:numId w:val="16"/>
        </w:numPr>
        <w:jc w:val="both"/>
      </w:pPr>
      <w:r>
        <w:t>Liberación de derecho de vía actual</w:t>
      </w:r>
    </w:p>
    <w:p w:rsidR="00173A92" w:rsidRDefault="00173A92" w:rsidP="00173A92">
      <w:pPr>
        <w:pStyle w:val="Prrafodelista"/>
        <w:numPr>
          <w:ilvl w:val="0"/>
          <w:numId w:val="16"/>
        </w:numPr>
        <w:jc w:val="both"/>
      </w:pPr>
      <w:r>
        <w:t>Ahorros por eliminar congestiones</w:t>
      </w:r>
    </w:p>
    <w:p w:rsidR="00173A92" w:rsidRDefault="00173A92" w:rsidP="00173A92">
      <w:pPr>
        <w:pStyle w:val="Prrafodelista"/>
        <w:numPr>
          <w:ilvl w:val="0"/>
          <w:numId w:val="16"/>
        </w:numPr>
        <w:jc w:val="both"/>
      </w:pPr>
      <w:r>
        <w:t>Ahorros en costos de viaje en las principales cruces con vialidades de Tapachula</w:t>
      </w:r>
    </w:p>
    <w:p w:rsidR="00173A92" w:rsidRDefault="00173A92" w:rsidP="00173A92">
      <w:pPr>
        <w:pStyle w:val="Prrafodelista"/>
        <w:numPr>
          <w:ilvl w:val="0"/>
          <w:numId w:val="16"/>
        </w:numPr>
        <w:jc w:val="both"/>
      </w:pPr>
      <w:r>
        <w:lastRenderedPageBreak/>
        <w:t xml:space="preserve">Disminución de riesgo de accidentes debido al transporte de productos peligrosos </w:t>
      </w:r>
    </w:p>
    <w:p w:rsidR="00173A92" w:rsidRDefault="00173A92" w:rsidP="00173A92">
      <w:pPr>
        <w:jc w:val="both"/>
      </w:pPr>
      <w:r>
        <w:t>La cuantificación total de los beneficios mencionados, en valor presente, asciende a 343.24 millones de pesos, considerando un horizonte de evaluación de 50 años.</w:t>
      </w:r>
    </w:p>
    <w:p w:rsidR="00173A92" w:rsidRDefault="00173A92" w:rsidP="00173A92">
      <w:pPr>
        <w:jc w:val="both"/>
      </w:pPr>
      <w:r>
        <w:t xml:space="preserve">Se consideró como indicador de rentabilidad valido para este proyecto el Valor Actual Neto (VAN)  y la Tasa Interna de Rendimiento (TIR).  El proyecto presenta un VAN positivo en 34.69 millones de pesos de 2009 y una TIR de 13.22%. </w:t>
      </w:r>
    </w:p>
    <w:p w:rsidR="00173A92" w:rsidRPr="00173A92" w:rsidRDefault="00173A92" w:rsidP="00173A92">
      <w:pPr>
        <w:pStyle w:val="Ttulo2"/>
        <w:rPr>
          <w:rFonts w:asciiTheme="minorHAnsi" w:hAnsiTheme="minorHAnsi" w:cstheme="minorHAnsi"/>
          <w:b/>
          <w:color w:val="auto"/>
          <w:sz w:val="22"/>
        </w:rPr>
      </w:pPr>
      <w:bookmarkStart w:id="77" w:name="_Toc498519518"/>
      <w:r w:rsidRPr="00173A92">
        <w:rPr>
          <w:rFonts w:asciiTheme="minorHAnsi" w:hAnsiTheme="minorHAnsi" w:cstheme="minorHAnsi"/>
          <w:b/>
          <w:color w:val="auto"/>
          <w:sz w:val="22"/>
        </w:rPr>
        <w:t>b) Problemática planteada.</w:t>
      </w:r>
      <w:bookmarkEnd w:id="77"/>
    </w:p>
    <w:p w:rsidR="00173A92" w:rsidRDefault="00173A92" w:rsidP="00173A92">
      <w:pPr>
        <w:jc w:val="both"/>
        <w:rPr>
          <w:lang w:val="es-ES_tradnl"/>
        </w:rPr>
      </w:pPr>
      <w:r w:rsidRPr="00173A92">
        <w:rPr>
          <w:lang w:val="es-ES_tradnl"/>
        </w:rPr>
        <w:t>El trazo actual de la vía del ferrocarril cruza por la ciudad de Tapachula, atravesando importantes vialidades que comunican el norte y sur de la población, por lo que con el paso del tren se interrumpe el tránsito vehicular y peatonal, ocasionando molestias por las demoras en el paso de vehículos y personas en horarios de media y alta congestión, además de provocar otros inconvenientes a los habitantes que viven en inmuebles adyacentes a las vías.</w:t>
      </w:r>
    </w:p>
    <w:p w:rsidR="00C53055" w:rsidRPr="00C53055" w:rsidRDefault="00C53055" w:rsidP="00C53055">
      <w:pPr>
        <w:pStyle w:val="Ttulo2"/>
        <w:rPr>
          <w:rFonts w:asciiTheme="minorHAnsi" w:hAnsiTheme="minorHAnsi" w:cstheme="minorHAnsi"/>
          <w:b/>
          <w:color w:val="auto"/>
          <w:sz w:val="22"/>
        </w:rPr>
      </w:pPr>
      <w:bookmarkStart w:id="78" w:name="_Toc498519519"/>
      <w:r w:rsidRPr="00C53055">
        <w:rPr>
          <w:rFonts w:asciiTheme="minorHAnsi" w:hAnsiTheme="minorHAnsi" w:cstheme="minorHAnsi"/>
          <w:b/>
          <w:color w:val="auto"/>
          <w:sz w:val="22"/>
        </w:rPr>
        <w:t>c) Objetivo.</w:t>
      </w:r>
      <w:bookmarkEnd w:id="78"/>
    </w:p>
    <w:p w:rsidR="00C53055" w:rsidRDefault="00C53055" w:rsidP="00173A92">
      <w:pPr>
        <w:jc w:val="both"/>
        <w:rPr>
          <w:lang w:val="es-ES_tradnl"/>
        </w:rPr>
      </w:pPr>
      <w:r w:rsidRPr="00C53055">
        <w:rPr>
          <w:lang w:val="es-ES_tradnl"/>
        </w:rPr>
        <w:t>El Proyecto “Libramiento Ferroviario de Tapachula” tiene como objetivo evitar las molestias ocasionadas por el paso del ferrocarril en su cruce con las vialidades más importantes que comunican la parte sur y norte de la población, así como eliminar las molestias a los habitantes que tienen sus viviendas adyacentes a la vía férrea.  Además, el proyecto ahorrará costos de operación y tiempo de traslado de las mercancías, tanto para la empresa que administre la vía como para las empresas usuarias del ferrocarril de carga, reflejándose esto en un beneficio social, así como en la disminución del riesgo de explosión o incendio en áreas pobladas, derivado del trasiego y almacenaje de combustibles de los carros tanque que los transportan a los depósitos fijos de PEMEX.</w:t>
      </w:r>
    </w:p>
    <w:p w:rsidR="00DC2E77" w:rsidRPr="00DC2E77" w:rsidRDefault="00C53055" w:rsidP="00DC2E77">
      <w:pPr>
        <w:pStyle w:val="Ttulo2"/>
        <w:rPr>
          <w:rFonts w:asciiTheme="minorHAnsi" w:hAnsiTheme="minorHAnsi" w:cstheme="minorHAnsi"/>
          <w:b/>
          <w:color w:val="auto"/>
          <w:sz w:val="22"/>
        </w:rPr>
      </w:pPr>
      <w:bookmarkStart w:id="79" w:name="_Toc498519520"/>
      <w:r>
        <w:rPr>
          <w:rFonts w:asciiTheme="minorHAnsi" w:hAnsiTheme="minorHAnsi" w:cstheme="minorHAnsi"/>
          <w:b/>
          <w:color w:val="auto"/>
          <w:sz w:val="22"/>
        </w:rPr>
        <w:t>d</w:t>
      </w:r>
      <w:r w:rsidR="00DC2E77" w:rsidRPr="00DC2E77">
        <w:rPr>
          <w:rFonts w:asciiTheme="minorHAnsi" w:hAnsiTheme="minorHAnsi" w:cstheme="minorHAnsi"/>
          <w:b/>
          <w:color w:val="auto"/>
          <w:sz w:val="22"/>
        </w:rPr>
        <w:t>) Riesgos asociados.</w:t>
      </w:r>
      <w:bookmarkEnd w:id="79"/>
    </w:p>
    <w:p w:rsidR="00DC2E77" w:rsidRPr="00DC2E77" w:rsidRDefault="00DC2E77" w:rsidP="00DC2E77">
      <w:pPr>
        <w:jc w:val="both"/>
        <w:rPr>
          <w:lang w:val="es-ES_tradnl"/>
        </w:rPr>
      </w:pPr>
      <w:r w:rsidRPr="00DC2E77">
        <w:rPr>
          <w:lang w:val="es-ES_tradnl"/>
        </w:rPr>
        <w:t xml:space="preserve">Por ferrocarril se transportan hacia Tapachula, además de mercancías, hidrocarburos (básicamente gasolinas y </w:t>
      </w:r>
      <w:proofErr w:type="spellStart"/>
      <w:r w:rsidRPr="00DC2E77">
        <w:rPr>
          <w:lang w:val="es-ES_tradnl"/>
        </w:rPr>
        <w:t>diesel</w:t>
      </w:r>
      <w:proofErr w:type="spellEnd"/>
      <w:r w:rsidRPr="00DC2E77">
        <w:rPr>
          <w:lang w:val="es-ES_tradnl"/>
        </w:rPr>
        <w:t>), por lo que la población no está exenta de sufrir las consecuencias de un accidente debido a alguna falla o descuido en el manejo de los productos peligrosos.</w:t>
      </w:r>
    </w:p>
    <w:p w:rsidR="00DC2E77" w:rsidRPr="00DC2E77" w:rsidRDefault="00DC2E77" w:rsidP="00DC2E77">
      <w:pPr>
        <w:jc w:val="both"/>
        <w:rPr>
          <w:lang w:val="es-ES_tradnl"/>
        </w:rPr>
      </w:pPr>
      <w:r w:rsidRPr="00DC2E77">
        <w:rPr>
          <w:lang w:val="es-ES_tradnl"/>
        </w:rPr>
        <w:t>En el Anexo 1 del presente documento se detalla un cálculo estimado de cuál sería el costo de un siniestro en el caso de la explosión de varios carros tanque de gasolina, cantidad que asciende a 285 millones de pesos.</w:t>
      </w:r>
    </w:p>
    <w:p w:rsidR="00DC2E77" w:rsidRDefault="00DC2E77" w:rsidP="00DC2E77">
      <w:pPr>
        <w:jc w:val="both"/>
        <w:rPr>
          <w:lang w:val="es-ES_tradnl"/>
        </w:rPr>
      </w:pPr>
      <w:r w:rsidRPr="00DC2E77">
        <w:rPr>
          <w:lang w:val="es-ES_tradnl"/>
        </w:rPr>
        <w:t>Por otra parte, el hecho de que las vías de la línea Chiapas-Mayab se conecten con otras vías del sistema ferroviario mexicano que llegan hasta el norte del país, representa para los indocumentados centroamericanos una opción de transporte, ya que utilizan, además de otros medios, al ferrocarril para poder llegar hasta el norte del país y después cruzar la frontera hasta Estados Unidos. Algunos indocumentados a su paso realizan actos delictivos en las poblaciones donde se concentran, sobre todo los pertenecientes a las llamadas bandas de maras salva-truchas y barrio 18, grupos que son conocidos por su uso excesivo de violencia y alto nivel delictivo.</w:t>
      </w:r>
    </w:p>
    <w:p w:rsidR="00DC2E77" w:rsidRDefault="00C53055" w:rsidP="00DC2E77">
      <w:pPr>
        <w:pStyle w:val="Ttulo2"/>
        <w:rPr>
          <w:rFonts w:asciiTheme="minorHAnsi" w:hAnsiTheme="minorHAnsi" w:cstheme="minorHAnsi"/>
          <w:b/>
          <w:color w:val="auto"/>
          <w:sz w:val="22"/>
        </w:rPr>
      </w:pPr>
      <w:bookmarkStart w:id="80" w:name="_Toc498519521"/>
      <w:r>
        <w:rPr>
          <w:rFonts w:asciiTheme="minorHAnsi" w:hAnsiTheme="minorHAnsi" w:cstheme="minorHAnsi"/>
          <w:b/>
          <w:color w:val="auto"/>
          <w:sz w:val="22"/>
        </w:rPr>
        <w:t>e</w:t>
      </w:r>
      <w:r w:rsidR="00DC2E77" w:rsidRPr="00DC2E77">
        <w:rPr>
          <w:rFonts w:asciiTheme="minorHAnsi" w:hAnsiTheme="minorHAnsi" w:cstheme="minorHAnsi"/>
          <w:b/>
          <w:color w:val="auto"/>
          <w:sz w:val="22"/>
        </w:rPr>
        <w:t>) Oferta</w:t>
      </w:r>
      <w:r w:rsidR="00240CEE">
        <w:rPr>
          <w:rFonts w:asciiTheme="minorHAnsi" w:hAnsiTheme="minorHAnsi" w:cstheme="minorHAnsi"/>
          <w:b/>
          <w:color w:val="auto"/>
          <w:sz w:val="22"/>
        </w:rPr>
        <w:t>.</w:t>
      </w:r>
      <w:bookmarkEnd w:id="80"/>
    </w:p>
    <w:p w:rsidR="00DC2E77" w:rsidRPr="00DC2E77" w:rsidRDefault="00240CEE" w:rsidP="00DC2E77">
      <w:r>
        <w:t xml:space="preserve">En el tramo del libramiento </w:t>
      </w:r>
      <w:r w:rsidR="00BD7510">
        <w:t>es de 11.1 km, lo que con respeto a la vía anterior que es</w:t>
      </w:r>
      <w:r>
        <w:t xml:space="preserve"> de </w:t>
      </w:r>
      <w:r w:rsidR="00BD7510">
        <w:t xml:space="preserve">23.75km, disminuye 12.65 km el traslado, </w:t>
      </w:r>
    </w:p>
    <w:p w:rsidR="00DC2E77" w:rsidRDefault="00C53055" w:rsidP="00DC2E77">
      <w:pPr>
        <w:pStyle w:val="Ttulo2"/>
        <w:rPr>
          <w:rFonts w:asciiTheme="minorHAnsi" w:hAnsiTheme="minorHAnsi" w:cstheme="minorHAnsi"/>
          <w:b/>
          <w:color w:val="auto"/>
          <w:sz w:val="22"/>
        </w:rPr>
      </w:pPr>
      <w:bookmarkStart w:id="81" w:name="_Toc498519522"/>
      <w:r>
        <w:rPr>
          <w:rFonts w:asciiTheme="minorHAnsi" w:hAnsiTheme="minorHAnsi" w:cstheme="minorHAnsi"/>
          <w:b/>
          <w:color w:val="auto"/>
          <w:sz w:val="22"/>
        </w:rPr>
        <w:lastRenderedPageBreak/>
        <w:t>f</w:t>
      </w:r>
      <w:r w:rsidR="00DC2E77" w:rsidRPr="00DC2E77">
        <w:rPr>
          <w:rFonts w:asciiTheme="minorHAnsi" w:hAnsiTheme="minorHAnsi" w:cstheme="minorHAnsi"/>
          <w:b/>
          <w:color w:val="auto"/>
          <w:sz w:val="22"/>
        </w:rPr>
        <w:t>) Demanda</w:t>
      </w:r>
      <w:r w:rsidR="00240CEE">
        <w:rPr>
          <w:rFonts w:asciiTheme="minorHAnsi" w:hAnsiTheme="minorHAnsi" w:cstheme="minorHAnsi"/>
          <w:b/>
          <w:color w:val="auto"/>
          <w:sz w:val="22"/>
        </w:rPr>
        <w:t>.</w:t>
      </w:r>
      <w:bookmarkEnd w:id="81"/>
    </w:p>
    <w:p w:rsidR="00BD7510" w:rsidRDefault="00BD7510" w:rsidP="005E651A">
      <w:pPr>
        <w:jc w:val="both"/>
      </w:pPr>
      <w:r>
        <w:t xml:space="preserve">En 2009 la línea “k” del ferrocarril a la cual pertenece el Libramiento de Tapachula se </w:t>
      </w:r>
      <w:r w:rsidR="005E651A">
        <w:t>movía</w:t>
      </w:r>
      <w:r>
        <w:t xml:space="preserve">  </w:t>
      </w:r>
      <w:r w:rsidRPr="00BD7510">
        <w:rPr>
          <w:rFonts w:ascii="Arial" w:eastAsia="Times New Roman" w:hAnsi="Arial" w:cs="Arial"/>
          <w:sz w:val="20"/>
          <w:szCs w:val="20"/>
          <w:lang w:eastAsia="es-MX"/>
        </w:rPr>
        <w:t>390,375.13</w:t>
      </w:r>
      <w:r>
        <w:rPr>
          <w:rFonts w:ascii="Arial" w:eastAsia="Times New Roman" w:hAnsi="Arial" w:cs="Arial"/>
          <w:sz w:val="20"/>
          <w:szCs w:val="20"/>
          <w:lang w:eastAsia="es-MX"/>
        </w:rPr>
        <w:t xml:space="preserve"> </w:t>
      </w:r>
      <w:r>
        <w:t>toneladas brutas</w:t>
      </w:r>
      <w:r>
        <w:rPr>
          <w:rFonts w:ascii="Arial" w:eastAsia="Times New Roman" w:hAnsi="Arial" w:cs="Arial"/>
          <w:sz w:val="20"/>
          <w:szCs w:val="20"/>
          <w:lang w:eastAsia="es-MX"/>
        </w:rPr>
        <w:t>, e</w:t>
      </w:r>
      <w:r>
        <w:t xml:space="preserve">n 2016 se movieron </w:t>
      </w:r>
      <w:r w:rsidRPr="00BD7510">
        <w:rPr>
          <w:rFonts w:ascii="Arial" w:eastAsia="Times New Roman" w:hAnsi="Arial" w:cs="Arial"/>
          <w:sz w:val="20"/>
          <w:szCs w:val="20"/>
          <w:lang w:eastAsia="es-MX"/>
        </w:rPr>
        <w:t>331,109.72</w:t>
      </w:r>
      <w:r>
        <w:t xml:space="preserve"> toneladas brutas.</w:t>
      </w:r>
    </w:p>
    <w:p w:rsidR="002B3FD4" w:rsidRDefault="002B3FD4" w:rsidP="002B3FD4">
      <w:pPr>
        <w:pStyle w:val="Ttulo3"/>
        <w:jc w:val="center"/>
        <w:rPr>
          <w:color w:val="auto"/>
          <w:sz w:val="20"/>
          <w:szCs w:val="20"/>
        </w:rPr>
      </w:pPr>
      <w:bookmarkStart w:id="82" w:name="_Toc498519523"/>
      <w:r w:rsidRPr="00D538BC">
        <w:rPr>
          <w:color w:val="auto"/>
          <w:sz w:val="20"/>
          <w:szCs w:val="20"/>
        </w:rPr>
        <w:t>T</w:t>
      </w:r>
      <w:r>
        <w:rPr>
          <w:color w:val="auto"/>
          <w:sz w:val="20"/>
          <w:szCs w:val="20"/>
        </w:rPr>
        <w:t>abla 20. Demanda histórica línea “K”.</w:t>
      </w:r>
      <w:bookmarkEnd w:id="82"/>
    </w:p>
    <w:p w:rsidR="00BD7510" w:rsidRDefault="002B3FD4" w:rsidP="002B3FD4">
      <w:pPr>
        <w:spacing w:after="0"/>
        <w:ind w:left="-851"/>
        <w:rPr>
          <w:rFonts w:ascii="Arial" w:eastAsia="Times New Roman" w:hAnsi="Arial" w:cs="Arial"/>
          <w:sz w:val="20"/>
          <w:szCs w:val="20"/>
          <w:lang w:eastAsia="es-MX"/>
        </w:rPr>
      </w:pPr>
      <w:r w:rsidRPr="002B3FD4">
        <w:rPr>
          <w:noProof/>
          <w:lang w:eastAsia="es-MX"/>
        </w:rPr>
        <w:drawing>
          <wp:inline distT="0" distB="0" distL="0" distR="0">
            <wp:extent cx="6822403" cy="419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7329" cy="419403"/>
                    </a:xfrm>
                    <a:prstGeom prst="rect">
                      <a:avLst/>
                    </a:prstGeom>
                    <a:noFill/>
                    <a:ln>
                      <a:noFill/>
                    </a:ln>
                  </pic:spPr>
                </pic:pic>
              </a:graphicData>
            </a:graphic>
          </wp:inline>
        </w:drawing>
      </w:r>
    </w:p>
    <w:p w:rsidR="002B3FD4" w:rsidRPr="00240CEE" w:rsidRDefault="002B3FD4" w:rsidP="002B3FD4">
      <w:pPr>
        <w:jc w:val="center"/>
        <w:rPr>
          <w:sz w:val="18"/>
          <w:szCs w:val="18"/>
          <w:lang w:eastAsia="en-AU"/>
        </w:rPr>
      </w:pPr>
      <w:r w:rsidRPr="00240CEE">
        <w:rPr>
          <w:sz w:val="18"/>
          <w:szCs w:val="18"/>
          <w:lang w:eastAsia="en-AU"/>
        </w:rPr>
        <w:t>Fuente: Elaboración propia con datos de Ferrocarril del Istmo de Tehuantepec, S.A. de C.V.</w:t>
      </w:r>
    </w:p>
    <w:p w:rsidR="00DC2E77" w:rsidRDefault="00C53055" w:rsidP="00DC2E77">
      <w:pPr>
        <w:pStyle w:val="Ttulo2"/>
        <w:rPr>
          <w:rFonts w:asciiTheme="minorHAnsi" w:hAnsiTheme="minorHAnsi" w:cstheme="minorHAnsi"/>
          <w:b/>
          <w:color w:val="auto"/>
          <w:sz w:val="22"/>
        </w:rPr>
      </w:pPr>
      <w:bookmarkStart w:id="83" w:name="_Toc498519524"/>
      <w:r>
        <w:rPr>
          <w:rFonts w:asciiTheme="minorHAnsi" w:hAnsiTheme="minorHAnsi" w:cstheme="minorHAnsi"/>
          <w:b/>
          <w:color w:val="auto"/>
          <w:sz w:val="22"/>
        </w:rPr>
        <w:t>g</w:t>
      </w:r>
      <w:r w:rsidR="00DC2E77" w:rsidRPr="00DC2E77">
        <w:rPr>
          <w:rFonts w:asciiTheme="minorHAnsi" w:hAnsiTheme="minorHAnsi" w:cstheme="minorHAnsi"/>
          <w:b/>
          <w:color w:val="auto"/>
          <w:sz w:val="22"/>
        </w:rPr>
        <w:t>) Alternativas de solución</w:t>
      </w:r>
      <w:r w:rsidR="00DC2E77">
        <w:rPr>
          <w:rFonts w:asciiTheme="minorHAnsi" w:hAnsiTheme="minorHAnsi" w:cstheme="minorHAnsi"/>
          <w:b/>
          <w:color w:val="auto"/>
          <w:sz w:val="22"/>
        </w:rPr>
        <w:t>.</w:t>
      </w:r>
      <w:bookmarkEnd w:id="83"/>
    </w:p>
    <w:p w:rsidR="00DC2E77" w:rsidRPr="00DC2E77" w:rsidRDefault="00DC2E77" w:rsidP="00DC2E77">
      <w:pPr>
        <w:spacing w:before="240" w:afterLines="60" w:after="144" w:line="288" w:lineRule="auto"/>
        <w:ind w:right="-142"/>
        <w:jc w:val="both"/>
        <w:rPr>
          <w:rFonts w:cstheme="minorHAnsi"/>
        </w:rPr>
      </w:pPr>
      <w:r w:rsidRPr="00DC2E77">
        <w:rPr>
          <w:rFonts w:cstheme="minorHAnsi"/>
        </w:rPr>
        <w:t>Para atender la problemática expuesta con anterioridad, la empresa Ferrocarril del Istmo de Tehuantepec (FIT) junto con la Secretaría de Transportes del Estado de Chiapas, han planteado como medida de solución la creación de un nuevo trazo para la construcción de un libramiento que evite el paso de trenes por la ciudad de Tapachula. Para ello se analizaron dos opciones de trazo de vía por medio de sobrevuelos, visitas de campo y análisis del terreno, que permitieron definir las características topográficas, de operación y económicas de los diferentes trazos. Con la información obtenida, el FIT determinó cuál ruta representa la mejor opción.</w:t>
      </w:r>
    </w:p>
    <w:p w:rsidR="00DC2E77" w:rsidRPr="00DC2E77" w:rsidRDefault="00DC2E77" w:rsidP="00DC2E77">
      <w:pPr>
        <w:spacing w:before="240" w:afterLines="60" w:after="144" w:line="288" w:lineRule="auto"/>
        <w:ind w:right="-142"/>
        <w:jc w:val="both"/>
        <w:rPr>
          <w:rFonts w:cstheme="minorHAnsi"/>
        </w:rPr>
      </w:pPr>
      <w:r w:rsidRPr="00DC2E77">
        <w:rPr>
          <w:rFonts w:cstheme="minorHAnsi"/>
        </w:rPr>
        <w:t>A continuación se describe el principal argumento por el que el FIT desecho la alternativa A, así como el detalle de la alternativa B, que fue el trazo elegido.</w:t>
      </w:r>
    </w:p>
    <w:p w:rsidR="00DC2E77" w:rsidRDefault="00DC2E77" w:rsidP="00DC2E77">
      <w:pPr>
        <w:ind w:right="-142"/>
        <w:jc w:val="both"/>
        <w:rPr>
          <w:rFonts w:cstheme="minorHAnsi"/>
        </w:rPr>
      </w:pPr>
      <w:r w:rsidRPr="00DC2E77">
        <w:rPr>
          <w:rFonts w:cstheme="minorHAnsi"/>
          <w:b/>
        </w:rPr>
        <w:t>Alternativa A</w:t>
      </w:r>
      <w:r w:rsidRPr="00DC2E77">
        <w:rPr>
          <w:rFonts w:cstheme="minorHAnsi"/>
        </w:rPr>
        <w:t xml:space="preserve">: Este opción cuenta con una longitud de 11.29 </w:t>
      </w:r>
      <w:proofErr w:type="spellStart"/>
      <w:r w:rsidRPr="00DC2E77">
        <w:rPr>
          <w:rFonts w:cstheme="minorHAnsi"/>
        </w:rPr>
        <w:t>Kms</w:t>
      </w:r>
      <w:proofErr w:type="spellEnd"/>
      <w:r w:rsidRPr="00DC2E77">
        <w:rPr>
          <w:rFonts w:cstheme="minorHAnsi"/>
        </w:rPr>
        <w:t>. sin embargo se desechó debido a su cercanía con la zona urbana de Tapachula, lo que provocaría que el paso del ferrocarril inevitablemente fuera absorbido por el crecimiento normal de la mancha urbana, presentándose en el mediano plazo la problemática que precisamente se trata de evitar con el proyecto.</w:t>
      </w:r>
    </w:p>
    <w:p w:rsidR="00DC2E77" w:rsidRDefault="00DC2E77" w:rsidP="00DC2E77">
      <w:pPr>
        <w:ind w:right="-142"/>
        <w:jc w:val="both"/>
        <w:rPr>
          <w:rFonts w:cstheme="minorHAnsi"/>
        </w:rPr>
      </w:pPr>
      <w:r w:rsidRPr="00DC2E77">
        <w:rPr>
          <w:rFonts w:cstheme="minorHAnsi"/>
          <w:b/>
        </w:rPr>
        <w:t>Alternativa B:</w:t>
      </w:r>
      <w:r w:rsidRPr="00DC2E77">
        <w:rPr>
          <w:rFonts w:cstheme="minorHAnsi"/>
        </w:rPr>
        <w:t xml:space="preserve"> La longitud de este trazo es de 11.1 </w:t>
      </w:r>
      <w:proofErr w:type="spellStart"/>
      <w:r w:rsidRPr="00DC2E77">
        <w:rPr>
          <w:rFonts w:cstheme="minorHAnsi"/>
        </w:rPr>
        <w:t>Kms</w:t>
      </w:r>
      <w:proofErr w:type="spellEnd"/>
      <w:r w:rsidRPr="00DC2E77">
        <w:rPr>
          <w:rFonts w:cstheme="minorHAnsi"/>
        </w:rPr>
        <w:t>. y no encuentra en su recorrido poblados ni instalaciones federales, gracias a sus características topográficas, de operación y económicas, esta ruta es técnicamente la mejor opción para l</w:t>
      </w:r>
      <w:r>
        <w:rPr>
          <w:rFonts w:cstheme="minorHAnsi"/>
        </w:rPr>
        <w:t>a construcción del libramiento.</w:t>
      </w:r>
    </w:p>
    <w:p w:rsidR="00DC2E77" w:rsidRPr="00DC2E77" w:rsidRDefault="00DC2E77" w:rsidP="00DC2E77">
      <w:pPr>
        <w:ind w:right="-142"/>
        <w:jc w:val="both"/>
        <w:rPr>
          <w:rFonts w:cstheme="minorHAnsi"/>
        </w:rPr>
      </w:pPr>
      <w:r w:rsidRPr="00DC2E77">
        <w:rPr>
          <w:rFonts w:cstheme="minorHAnsi"/>
        </w:rPr>
        <w:t xml:space="preserve">Básicamente la alternativa elegida es preferible debido a que su planteamiento evita acercarse a la parte de la ciudad de Tapachula en la que se ha detectado mayor crecimiento de la mancha urbana. Adicionalmente, esta alternativa considera una longitud de 11.1 </w:t>
      </w:r>
      <w:proofErr w:type="spellStart"/>
      <w:r w:rsidRPr="00DC2E77">
        <w:rPr>
          <w:rFonts w:cstheme="minorHAnsi"/>
        </w:rPr>
        <w:t>Kms</w:t>
      </w:r>
      <w:proofErr w:type="spellEnd"/>
      <w:r w:rsidRPr="00DC2E77">
        <w:rPr>
          <w:rFonts w:cstheme="minorHAnsi"/>
        </w:rPr>
        <w:t xml:space="preserve"> y se realizaría a 10 </w:t>
      </w:r>
      <w:proofErr w:type="spellStart"/>
      <w:r w:rsidRPr="00DC2E77">
        <w:rPr>
          <w:rFonts w:cstheme="minorHAnsi"/>
        </w:rPr>
        <w:t>kms</w:t>
      </w:r>
      <w:proofErr w:type="spellEnd"/>
      <w:r w:rsidRPr="00DC2E77">
        <w:rPr>
          <w:rFonts w:cstheme="minorHAnsi"/>
        </w:rPr>
        <w:t xml:space="preserve"> al sur-poniente de la ciudad de Tapachula, cruzando por terrenos donde se cultiva maíz, pepino jícama limón y chile, así como por huertas de mango, cacao y mamey. Estos terrenos pertenecen a las comunidades Viva México, Raymundo Enríquez y Rio Florido. Las autoridades del Estado de Chiapas encontraron que en términos de la adquisición de los predios para el derecho de vía del proyecto, los correspondientes a la alternativa B representan una mejor opción.</w:t>
      </w:r>
    </w:p>
    <w:p w:rsidR="00DC2E77" w:rsidRPr="00DC2E77" w:rsidRDefault="00DC2E77" w:rsidP="00DC2E77">
      <w:pPr>
        <w:ind w:right="-142"/>
        <w:jc w:val="both"/>
        <w:rPr>
          <w:rFonts w:cstheme="minorHAnsi"/>
        </w:rPr>
      </w:pPr>
      <w:r w:rsidRPr="00DC2E77">
        <w:rPr>
          <w:rFonts w:cstheme="minorHAnsi"/>
        </w:rPr>
        <w:t xml:space="preserve">Las principales obras consideradas para hacer viable esta opción incluyen: </w:t>
      </w:r>
    </w:p>
    <w:p w:rsidR="00DC2E77" w:rsidRPr="00DC2E77" w:rsidRDefault="00DC2E77" w:rsidP="00DC2E77">
      <w:pPr>
        <w:pStyle w:val="Prrafodelista"/>
        <w:numPr>
          <w:ilvl w:val="0"/>
          <w:numId w:val="17"/>
        </w:numPr>
        <w:ind w:right="-142"/>
        <w:jc w:val="both"/>
        <w:rPr>
          <w:rFonts w:cstheme="minorHAnsi"/>
        </w:rPr>
      </w:pPr>
      <w:r w:rsidRPr="00DC2E77">
        <w:rPr>
          <w:rFonts w:cstheme="minorHAnsi"/>
        </w:rPr>
        <w:t xml:space="preserve">Adquisición de derechos de vía por 44.4 Ha </w:t>
      </w:r>
    </w:p>
    <w:p w:rsidR="00DC2E77" w:rsidRPr="00DC2E77" w:rsidRDefault="00DC2E77" w:rsidP="00DC2E77">
      <w:pPr>
        <w:pStyle w:val="Prrafodelista"/>
        <w:numPr>
          <w:ilvl w:val="0"/>
          <w:numId w:val="17"/>
        </w:numPr>
        <w:ind w:right="-142"/>
        <w:jc w:val="both"/>
        <w:rPr>
          <w:rFonts w:cstheme="minorHAnsi"/>
        </w:rPr>
      </w:pPr>
      <w:r w:rsidRPr="00DC2E77">
        <w:rPr>
          <w:rFonts w:cstheme="minorHAnsi"/>
        </w:rPr>
        <w:t xml:space="preserve">Construcción 11.1 </w:t>
      </w:r>
      <w:proofErr w:type="spellStart"/>
      <w:r w:rsidRPr="00DC2E77">
        <w:rPr>
          <w:rFonts w:cstheme="minorHAnsi"/>
        </w:rPr>
        <w:t>kms</w:t>
      </w:r>
      <w:proofErr w:type="spellEnd"/>
      <w:r w:rsidRPr="00DC2E77">
        <w:rPr>
          <w:rFonts w:cstheme="minorHAnsi"/>
        </w:rPr>
        <w:t xml:space="preserve"> del nuevo trazo.</w:t>
      </w:r>
    </w:p>
    <w:p w:rsidR="00DC2E77" w:rsidRDefault="00DC2E77" w:rsidP="00DC2E77">
      <w:pPr>
        <w:pStyle w:val="Prrafodelista"/>
        <w:numPr>
          <w:ilvl w:val="0"/>
          <w:numId w:val="17"/>
        </w:numPr>
        <w:ind w:right="-142"/>
        <w:jc w:val="both"/>
        <w:rPr>
          <w:rFonts w:cstheme="minorHAnsi"/>
        </w:rPr>
      </w:pPr>
      <w:r w:rsidRPr="00DC2E77">
        <w:rPr>
          <w:rFonts w:cstheme="minorHAnsi"/>
        </w:rPr>
        <w:t xml:space="preserve">Puente </w:t>
      </w:r>
      <w:proofErr w:type="spellStart"/>
      <w:r w:rsidRPr="00DC2E77">
        <w:rPr>
          <w:rFonts w:cstheme="minorHAnsi"/>
        </w:rPr>
        <w:t>Coatan</w:t>
      </w:r>
      <w:proofErr w:type="spellEnd"/>
      <w:r w:rsidRPr="00DC2E77">
        <w:rPr>
          <w:rFonts w:cstheme="minorHAnsi"/>
        </w:rPr>
        <w:t xml:space="preserve"> km 1+550 al 1+740, puente ferroviario en km 4+265, puente en rio florido km 7+651 y puente ferroviario km 10+770</w:t>
      </w:r>
    </w:p>
    <w:p w:rsidR="00DC2E77" w:rsidRDefault="00DC2E77" w:rsidP="00DC2E77">
      <w:pPr>
        <w:ind w:right="-142"/>
        <w:jc w:val="both"/>
        <w:rPr>
          <w:rFonts w:cstheme="minorHAnsi"/>
        </w:rPr>
      </w:pPr>
      <w:r w:rsidRPr="00DC2E77">
        <w:rPr>
          <w:rFonts w:cstheme="minorHAnsi"/>
        </w:rPr>
        <w:lastRenderedPageBreak/>
        <w:t>Una parte muy importante en la construcción de las vías ferroviarias es el tipo de durmiente que se utilizará (madera o concreto). El durmiente es la parte que va de forma transversal al eje de la vía y las funciones que desempeña se describen a continuación:</w:t>
      </w:r>
    </w:p>
    <w:p w:rsidR="00DC2E77" w:rsidRPr="00DC2E77" w:rsidRDefault="00DC2E77" w:rsidP="00DC2E77">
      <w:pPr>
        <w:ind w:right="-142"/>
        <w:jc w:val="both"/>
        <w:rPr>
          <w:rFonts w:cstheme="minorHAnsi"/>
        </w:rPr>
      </w:pPr>
    </w:p>
    <w:p w:rsidR="00DC2E77" w:rsidRPr="00DC2E77" w:rsidRDefault="00DC2E77" w:rsidP="00DC2E77">
      <w:pPr>
        <w:pStyle w:val="Prrafodelista"/>
        <w:numPr>
          <w:ilvl w:val="0"/>
          <w:numId w:val="18"/>
        </w:numPr>
        <w:ind w:right="-142"/>
        <w:jc w:val="both"/>
        <w:rPr>
          <w:rFonts w:cstheme="minorHAnsi"/>
        </w:rPr>
      </w:pPr>
      <w:r w:rsidRPr="00DC2E77">
        <w:rPr>
          <w:rFonts w:cstheme="minorHAnsi"/>
        </w:rPr>
        <w:t>Mantener las vías fijas, unidas y a una distancia.</w:t>
      </w:r>
    </w:p>
    <w:p w:rsidR="00DC2E77" w:rsidRPr="00DC2E77" w:rsidRDefault="00DC2E77" w:rsidP="00DC2E77">
      <w:pPr>
        <w:pStyle w:val="Prrafodelista"/>
        <w:numPr>
          <w:ilvl w:val="0"/>
          <w:numId w:val="18"/>
        </w:numPr>
        <w:ind w:right="-142"/>
        <w:jc w:val="both"/>
        <w:rPr>
          <w:rFonts w:cstheme="minorHAnsi"/>
        </w:rPr>
      </w:pPr>
      <w:r w:rsidRPr="00DC2E77">
        <w:rPr>
          <w:rFonts w:cstheme="minorHAnsi"/>
        </w:rPr>
        <w:t>Soporte de los rieles, fijando y asegurando su posición en lo referente a cota, separación e inclinación.</w:t>
      </w:r>
    </w:p>
    <w:p w:rsidR="00DC2E77" w:rsidRPr="00DC2E77" w:rsidRDefault="00DC2E77" w:rsidP="00DC2E77">
      <w:pPr>
        <w:pStyle w:val="Prrafodelista"/>
        <w:numPr>
          <w:ilvl w:val="0"/>
          <w:numId w:val="18"/>
        </w:numPr>
        <w:ind w:right="-142"/>
        <w:jc w:val="both"/>
        <w:rPr>
          <w:rFonts w:cstheme="minorHAnsi"/>
        </w:rPr>
      </w:pPr>
      <w:r w:rsidRPr="00DC2E77">
        <w:rPr>
          <w:rFonts w:cstheme="minorHAnsi"/>
        </w:rPr>
        <w:t>Recibir las cargas verticales y horizontales transmitidas por los rieles y repartirlas sobre el balasto mediante su superficie de apoyo.</w:t>
      </w:r>
    </w:p>
    <w:p w:rsidR="00DC2E77" w:rsidRPr="00DC2E77" w:rsidRDefault="00DC2E77" w:rsidP="00DC2E77">
      <w:pPr>
        <w:pStyle w:val="Prrafodelista"/>
        <w:numPr>
          <w:ilvl w:val="0"/>
          <w:numId w:val="18"/>
        </w:numPr>
        <w:ind w:right="-142"/>
        <w:jc w:val="both"/>
        <w:rPr>
          <w:rFonts w:cstheme="minorHAnsi"/>
        </w:rPr>
      </w:pPr>
      <w:r w:rsidRPr="00DC2E77">
        <w:rPr>
          <w:rFonts w:cstheme="minorHAnsi"/>
        </w:rPr>
        <w:t>Conseguir y mantener la estabilidad de la vía en el plano horizontal y en el vertical frente a los esfuerzos estáticos procedentes del peso propio y las variaciones de temperatura y a los esfuerzos dinámicos debidos al paso de los trenes.</w:t>
      </w:r>
    </w:p>
    <w:p w:rsidR="00DC2E77" w:rsidRDefault="00DC2E77" w:rsidP="00DC2E77">
      <w:pPr>
        <w:ind w:right="-142"/>
        <w:jc w:val="both"/>
        <w:rPr>
          <w:rFonts w:cstheme="minorHAnsi"/>
        </w:rPr>
      </w:pPr>
      <w:r w:rsidRPr="00DC2E77">
        <w:rPr>
          <w:rFonts w:cstheme="minorHAnsi"/>
        </w:rPr>
        <w:t>Debido a que existen básicamente dos opciones de durmiente, madera y Concreto, se analizaron las ventajas y desventajas técnicas de cada una, así como los costos de inversión y mantenimiento, con el fin de determinar la mejor opción para el proyecto.</w:t>
      </w:r>
    </w:p>
    <w:p w:rsidR="00C53055" w:rsidRPr="00F0114B" w:rsidRDefault="00C53055" w:rsidP="00C53055">
      <w:pPr>
        <w:ind w:right="-142"/>
        <w:jc w:val="both"/>
        <w:rPr>
          <w:rFonts w:cstheme="minorHAnsi"/>
          <w:b/>
        </w:rPr>
      </w:pPr>
      <w:r w:rsidRPr="00F0114B">
        <w:rPr>
          <w:rFonts w:cstheme="minorHAnsi"/>
          <w:b/>
        </w:rPr>
        <w:t>Alternativa 1: Durmiente de madera</w:t>
      </w:r>
    </w:p>
    <w:p w:rsidR="00C53055" w:rsidRPr="00C53055" w:rsidRDefault="00C53055" w:rsidP="00C53055">
      <w:pPr>
        <w:ind w:right="-142"/>
        <w:jc w:val="both"/>
        <w:rPr>
          <w:rFonts w:cstheme="minorHAnsi"/>
        </w:rPr>
      </w:pPr>
      <w:r w:rsidRPr="00C53055">
        <w:rPr>
          <w:rFonts w:cstheme="minorHAnsi"/>
        </w:rPr>
        <w:t xml:space="preserve">Ventajas: </w:t>
      </w:r>
    </w:p>
    <w:p w:rsidR="00C53055" w:rsidRPr="00C53055" w:rsidRDefault="00C53055" w:rsidP="00C53055">
      <w:pPr>
        <w:pStyle w:val="Prrafodelista"/>
        <w:numPr>
          <w:ilvl w:val="0"/>
          <w:numId w:val="19"/>
        </w:numPr>
        <w:ind w:right="-142"/>
        <w:jc w:val="both"/>
        <w:rPr>
          <w:rFonts w:cstheme="minorHAnsi"/>
        </w:rPr>
      </w:pPr>
      <w:r w:rsidRPr="00C53055">
        <w:rPr>
          <w:rFonts w:cstheme="minorHAnsi"/>
        </w:rPr>
        <w:t>Son mucho más ligeros en caso de sustitución, se requiere de menos personal para los trabajos.</w:t>
      </w:r>
    </w:p>
    <w:p w:rsidR="00C53055" w:rsidRPr="00C53055" w:rsidRDefault="00C53055" w:rsidP="00C53055">
      <w:pPr>
        <w:pStyle w:val="Prrafodelista"/>
        <w:numPr>
          <w:ilvl w:val="0"/>
          <w:numId w:val="19"/>
        </w:numPr>
        <w:ind w:right="-142"/>
        <w:jc w:val="both"/>
        <w:rPr>
          <w:rFonts w:cstheme="minorHAnsi"/>
        </w:rPr>
      </w:pPr>
      <w:r w:rsidRPr="00C53055">
        <w:rPr>
          <w:rFonts w:cstheme="minorHAnsi"/>
        </w:rPr>
        <w:t>Menor costo.</w:t>
      </w:r>
    </w:p>
    <w:p w:rsidR="00C53055" w:rsidRPr="00C53055" w:rsidRDefault="00C53055" w:rsidP="00C53055">
      <w:pPr>
        <w:pStyle w:val="Prrafodelista"/>
        <w:numPr>
          <w:ilvl w:val="0"/>
          <w:numId w:val="19"/>
        </w:numPr>
        <w:ind w:right="-142"/>
        <w:jc w:val="both"/>
        <w:rPr>
          <w:rFonts w:cstheme="minorHAnsi"/>
        </w:rPr>
      </w:pPr>
      <w:r w:rsidRPr="00C53055">
        <w:rPr>
          <w:rFonts w:cstheme="minorHAnsi"/>
        </w:rPr>
        <w:t>Son más fáciles de sustituir en caso de descarrilamiento.</w:t>
      </w:r>
    </w:p>
    <w:p w:rsidR="00C53055" w:rsidRPr="00C53055" w:rsidRDefault="00C53055" w:rsidP="00C53055">
      <w:pPr>
        <w:ind w:right="-142"/>
        <w:jc w:val="both"/>
        <w:rPr>
          <w:rFonts w:cstheme="minorHAnsi"/>
        </w:rPr>
      </w:pPr>
      <w:r w:rsidRPr="00C53055">
        <w:rPr>
          <w:rFonts w:cstheme="minorHAnsi"/>
        </w:rPr>
        <w:t>Desventajas:</w:t>
      </w:r>
    </w:p>
    <w:p w:rsidR="00C53055" w:rsidRPr="00C53055" w:rsidRDefault="00C53055" w:rsidP="00C53055">
      <w:pPr>
        <w:pStyle w:val="Prrafodelista"/>
        <w:numPr>
          <w:ilvl w:val="0"/>
          <w:numId w:val="20"/>
        </w:numPr>
        <w:ind w:right="-142"/>
        <w:jc w:val="both"/>
        <w:rPr>
          <w:rFonts w:cstheme="minorHAnsi"/>
        </w:rPr>
      </w:pPr>
      <w:r w:rsidRPr="00C53055">
        <w:rPr>
          <w:rFonts w:cstheme="minorHAnsi"/>
        </w:rPr>
        <w:t>Su vida útil es corta, en promedio de vida 5 años.</w:t>
      </w:r>
    </w:p>
    <w:p w:rsidR="00C53055" w:rsidRPr="00C53055" w:rsidRDefault="00C53055" w:rsidP="00C53055">
      <w:pPr>
        <w:pStyle w:val="Prrafodelista"/>
        <w:numPr>
          <w:ilvl w:val="0"/>
          <w:numId w:val="20"/>
        </w:numPr>
        <w:ind w:right="-142"/>
        <w:jc w:val="both"/>
        <w:rPr>
          <w:rFonts w:cstheme="minorHAnsi"/>
        </w:rPr>
      </w:pPr>
      <w:r w:rsidRPr="00C53055">
        <w:rPr>
          <w:rFonts w:cstheme="minorHAnsi"/>
        </w:rPr>
        <w:t>Su mantenimiento representa mayores costos anuales.</w:t>
      </w:r>
    </w:p>
    <w:p w:rsidR="00C53055" w:rsidRPr="00C53055" w:rsidRDefault="00C53055" w:rsidP="00C53055">
      <w:pPr>
        <w:pStyle w:val="Prrafodelista"/>
        <w:numPr>
          <w:ilvl w:val="0"/>
          <w:numId w:val="20"/>
        </w:numPr>
        <w:ind w:right="-142"/>
        <w:jc w:val="both"/>
        <w:rPr>
          <w:rFonts w:cstheme="minorHAnsi"/>
        </w:rPr>
      </w:pPr>
      <w:r w:rsidRPr="00C53055">
        <w:rPr>
          <w:rFonts w:cstheme="minorHAnsi"/>
        </w:rPr>
        <w:t>La clavazón pierde con el tiempo su efectividad, lo cual provoca un mal comportamiento en la conservación de la vía.</w:t>
      </w:r>
    </w:p>
    <w:p w:rsidR="00C53055" w:rsidRPr="00C53055" w:rsidRDefault="00C53055" w:rsidP="00C53055">
      <w:pPr>
        <w:pStyle w:val="Prrafodelista"/>
        <w:numPr>
          <w:ilvl w:val="0"/>
          <w:numId w:val="20"/>
        </w:numPr>
        <w:ind w:right="-142"/>
        <w:jc w:val="both"/>
        <w:rPr>
          <w:rFonts w:cstheme="minorHAnsi"/>
        </w:rPr>
      </w:pPr>
      <w:r w:rsidRPr="00C53055">
        <w:rPr>
          <w:rFonts w:cstheme="minorHAnsi"/>
        </w:rPr>
        <w:t>Para su instalación se necesita de clavos y placas con varios usos posibles, sin embargo, se ha observado un alto índice de robos de estos materiales, lo que incrementa el mantenimiento y la inseguridad en el movimiento de trenes.</w:t>
      </w:r>
    </w:p>
    <w:p w:rsidR="00DC2E77" w:rsidRDefault="00C53055" w:rsidP="00C53055">
      <w:pPr>
        <w:ind w:right="-142"/>
        <w:jc w:val="both"/>
        <w:rPr>
          <w:rFonts w:cstheme="minorHAnsi"/>
        </w:rPr>
      </w:pPr>
      <w:r w:rsidRPr="00C53055">
        <w:rPr>
          <w:rFonts w:cstheme="minorHAnsi"/>
        </w:rPr>
        <w:t>A continuación se muestran los costos por kilómetro de la construcción de vía con durmientes de madera, así como el costo anual equivalente (CAE), esto con la finalidad de poder comparar las alternativas, ya que la vida útil de las alternativas a evaluar son diferentes.</w:t>
      </w:r>
    </w:p>
    <w:p w:rsidR="002B3FD4" w:rsidRDefault="002B3FD4" w:rsidP="00C53055">
      <w:pPr>
        <w:ind w:right="-142"/>
        <w:jc w:val="both"/>
        <w:rPr>
          <w:rFonts w:cstheme="minorHAnsi"/>
        </w:rPr>
      </w:pPr>
    </w:p>
    <w:p w:rsidR="002B3FD4" w:rsidRDefault="002B3FD4" w:rsidP="00C53055">
      <w:pPr>
        <w:ind w:right="-142"/>
        <w:jc w:val="both"/>
        <w:rPr>
          <w:rFonts w:cstheme="minorHAnsi"/>
        </w:rPr>
      </w:pPr>
    </w:p>
    <w:p w:rsidR="002B3FD4" w:rsidRDefault="002B3FD4" w:rsidP="00C53055">
      <w:pPr>
        <w:ind w:right="-142"/>
        <w:jc w:val="both"/>
        <w:rPr>
          <w:rFonts w:cstheme="minorHAnsi"/>
        </w:rPr>
      </w:pPr>
    </w:p>
    <w:p w:rsidR="002B3FD4" w:rsidRDefault="002B3FD4" w:rsidP="002B3FD4">
      <w:pPr>
        <w:pStyle w:val="Ttulo3"/>
        <w:jc w:val="center"/>
        <w:rPr>
          <w:color w:val="auto"/>
          <w:sz w:val="20"/>
          <w:szCs w:val="20"/>
        </w:rPr>
      </w:pPr>
      <w:bookmarkStart w:id="84" w:name="_Toc498519525"/>
      <w:r w:rsidRPr="00D538BC">
        <w:rPr>
          <w:color w:val="auto"/>
          <w:sz w:val="20"/>
          <w:szCs w:val="20"/>
        </w:rPr>
        <w:lastRenderedPageBreak/>
        <w:t>T</w:t>
      </w:r>
      <w:r>
        <w:rPr>
          <w:color w:val="auto"/>
          <w:sz w:val="20"/>
          <w:szCs w:val="20"/>
        </w:rPr>
        <w:t>abla 21. Costos Alternativa “A”.</w:t>
      </w:r>
      <w:bookmarkEnd w:id="84"/>
    </w:p>
    <w:tbl>
      <w:tblPr>
        <w:tblW w:w="0" w:type="auto"/>
        <w:tblInd w:w="70" w:type="dxa"/>
        <w:tblCellMar>
          <w:left w:w="70" w:type="dxa"/>
          <w:right w:w="70" w:type="dxa"/>
        </w:tblCellMar>
        <w:tblLook w:val="04A0" w:firstRow="1" w:lastRow="0" w:firstColumn="1" w:lastColumn="0" w:noHBand="0" w:noVBand="1"/>
      </w:tblPr>
      <w:tblGrid>
        <w:gridCol w:w="4218"/>
        <w:gridCol w:w="4916"/>
      </w:tblGrid>
      <w:tr w:rsidR="00C53055" w:rsidRPr="00C53055" w:rsidTr="00C53055">
        <w:trPr>
          <w:trHeight w:val="870"/>
        </w:trPr>
        <w:tc>
          <w:tcPr>
            <w:tcW w:w="0" w:type="auto"/>
            <w:gridSpan w:val="2"/>
            <w:tcBorders>
              <w:top w:val="single" w:sz="4" w:space="0" w:color="auto"/>
              <w:left w:val="single" w:sz="4" w:space="0" w:color="auto"/>
              <w:bottom w:val="single" w:sz="4" w:space="0" w:color="auto"/>
              <w:right w:val="single" w:sz="4" w:space="0" w:color="000000"/>
            </w:tcBorders>
            <w:shd w:val="clear" w:color="auto" w:fill="C00000"/>
            <w:vAlign w:val="center"/>
          </w:tcPr>
          <w:p w:rsidR="00C53055" w:rsidRPr="00C53055" w:rsidRDefault="00C53055" w:rsidP="002B3FD4">
            <w:pPr>
              <w:keepNext/>
              <w:jc w:val="center"/>
              <w:rPr>
                <w:rFonts w:cstheme="minorHAnsi"/>
                <w:b/>
                <w:bCs/>
                <w:color w:val="FFFFFF" w:themeColor="background1"/>
                <w:sz w:val="18"/>
                <w:szCs w:val="18"/>
                <w:lang w:eastAsia="es-MX"/>
              </w:rPr>
            </w:pPr>
            <w:r w:rsidRPr="00C53055">
              <w:rPr>
                <w:rFonts w:cstheme="minorHAnsi"/>
                <w:b/>
                <w:bCs/>
                <w:color w:val="FFFFFF" w:themeColor="background1"/>
                <w:sz w:val="18"/>
                <w:szCs w:val="18"/>
                <w:lang w:eastAsia="es-MX"/>
              </w:rPr>
              <w:t xml:space="preserve">Costos para la construcción de un kilómetro de vía clásica, utilizando riel de 115 </w:t>
            </w:r>
            <w:proofErr w:type="spellStart"/>
            <w:r w:rsidRPr="00C53055">
              <w:rPr>
                <w:rFonts w:cstheme="minorHAnsi"/>
                <w:b/>
                <w:bCs/>
                <w:color w:val="FFFFFF" w:themeColor="background1"/>
                <w:sz w:val="18"/>
                <w:szCs w:val="18"/>
                <w:lang w:eastAsia="es-MX"/>
              </w:rPr>
              <w:t>Lbs</w:t>
            </w:r>
            <w:proofErr w:type="spellEnd"/>
            <w:proofErr w:type="gramStart"/>
            <w:r w:rsidRPr="00C53055">
              <w:rPr>
                <w:rFonts w:cstheme="minorHAnsi"/>
                <w:b/>
                <w:bCs/>
                <w:color w:val="FFFFFF" w:themeColor="background1"/>
                <w:sz w:val="18"/>
                <w:szCs w:val="18"/>
                <w:lang w:eastAsia="es-MX"/>
              </w:rPr>
              <w:t>./</w:t>
            </w:r>
            <w:proofErr w:type="spellStart"/>
            <w:proofErr w:type="gramEnd"/>
            <w:r w:rsidRPr="00C53055">
              <w:rPr>
                <w:rFonts w:cstheme="minorHAnsi"/>
                <w:b/>
                <w:bCs/>
                <w:color w:val="FFFFFF" w:themeColor="background1"/>
                <w:sz w:val="18"/>
                <w:szCs w:val="18"/>
                <w:lang w:eastAsia="es-MX"/>
              </w:rPr>
              <w:t>Yda</w:t>
            </w:r>
            <w:proofErr w:type="spellEnd"/>
            <w:r w:rsidRPr="00C53055">
              <w:rPr>
                <w:rFonts w:cstheme="minorHAnsi"/>
                <w:b/>
                <w:bCs/>
                <w:color w:val="FFFFFF" w:themeColor="background1"/>
                <w:sz w:val="18"/>
                <w:szCs w:val="18"/>
                <w:lang w:eastAsia="es-MX"/>
              </w:rPr>
              <w:t>. y accesorios de primera clase con durmiente de madera en curva y tangente</w:t>
            </w:r>
          </w:p>
        </w:tc>
      </w:tr>
      <w:tr w:rsidR="00C53055" w:rsidRPr="00C53055" w:rsidTr="00C5305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00000"/>
            <w:noWrap/>
            <w:vAlign w:val="center"/>
          </w:tcPr>
          <w:p w:rsidR="00C53055" w:rsidRPr="00C53055" w:rsidRDefault="00C53055" w:rsidP="002B3FD4">
            <w:pPr>
              <w:keepNext/>
              <w:jc w:val="center"/>
              <w:rPr>
                <w:rFonts w:cstheme="minorHAnsi"/>
                <w:b/>
                <w:bCs/>
                <w:color w:val="FFFFFF" w:themeColor="background1"/>
                <w:sz w:val="18"/>
                <w:szCs w:val="18"/>
                <w:lang w:eastAsia="es-MX"/>
              </w:rPr>
            </w:pPr>
            <w:r w:rsidRPr="00C53055">
              <w:rPr>
                <w:rFonts w:cstheme="minorHAnsi"/>
                <w:b/>
                <w:bCs/>
                <w:color w:val="FFFFFF" w:themeColor="background1"/>
                <w:sz w:val="18"/>
                <w:szCs w:val="18"/>
                <w:lang w:eastAsia="es-MX"/>
              </w:rPr>
              <w:t>Concepto</w:t>
            </w:r>
          </w:p>
        </w:tc>
        <w:tc>
          <w:tcPr>
            <w:tcW w:w="0" w:type="auto"/>
            <w:tcBorders>
              <w:top w:val="nil"/>
              <w:left w:val="nil"/>
              <w:bottom w:val="single" w:sz="4" w:space="0" w:color="auto"/>
              <w:right w:val="single" w:sz="4" w:space="0" w:color="auto"/>
            </w:tcBorders>
            <w:shd w:val="clear" w:color="auto" w:fill="C00000"/>
            <w:noWrap/>
            <w:vAlign w:val="center"/>
          </w:tcPr>
          <w:p w:rsidR="00C53055" w:rsidRPr="00C53055" w:rsidRDefault="00C53055" w:rsidP="002B3FD4">
            <w:pPr>
              <w:keepNext/>
              <w:jc w:val="center"/>
              <w:rPr>
                <w:rFonts w:cstheme="minorHAnsi"/>
                <w:b/>
                <w:bCs/>
                <w:color w:val="FFFFFF" w:themeColor="background1"/>
                <w:sz w:val="18"/>
                <w:szCs w:val="18"/>
                <w:lang w:eastAsia="es-MX"/>
              </w:rPr>
            </w:pPr>
            <w:r>
              <w:rPr>
                <w:rFonts w:cstheme="minorHAnsi"/>
                <w:b/>
                <w:bCs/>
                <w:color w:val="FFFFFF" w:themeColor="background1"/>
                <w:sz w:val="18"/>
                <w:szCs w:val="18"/>
                <w:lang w:eastAsia="es-MX"/>
              </w:rPr>
              <w:t>Costo por km/vía (Mdp pesos 2009)</w:t>
            </w:r>
          </w:p>
        </w:tc>
      </w:tr>
      <w:tr w:rsidR="00C53055" w:rsidRPr="00C53055" w:rsidTr="00C5305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sidRPr="00C53055">
              <w:rPr>
                <w:rFonts w:cstheme="minorHAnsi"/>
                <w:color w:val="000000"/>
                <w:sz w:val="18"/>
                <w:szCs w:val="18"/>
                <w:lang w:eastAsia="es-MX"/>
              </w:rPr>
              <w:t>Materiales</w:t>
            </w:r>
          </w:p>
        </w:tc>
        <w:tc>
          <w:tcPr>
            <w:tcW w:w="0" w:type="auto"/>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4.46</w:t>
            </w:r>
          </w:p>
        </w:tc>
      </w:tr>
      <w:tr w:rsidR="00C53055" w:rsidRPr="00C53055" w:rsidTr="00C5305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Pr>
                <w:rFonts w:cstheme="minorHAnsi"/>
                <w:color w:val="000000"/>
                <w:sz w:val="18"/>
                <w:szCs w:val="18"/>
                <w:lang w:eastAsia="es-MX"/>
              </w:rPr>
              <w:t>Mano de obra</w:t>
            </w:r>
          </w:p>
        </w:tc>
        <w:tc>
          <w:tcPr>
            <w:tcW w:w="0" w:type="auto"/>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0.27</w:t>
            </w:r>
          </w:p>
        </w:tc>
      </w:tr>
      <w:tr w:rsidR="00C53055" w:rsidRPr="00C53055" w:rsidTr="00C5305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sidRPr="00C53055">
              <w:rPr>
                <w:rFonts w:cstheme="minorHAnsi"/>
                <w:color w:val="000000"/>
                <w:sz w:val="18"/>
                <w:szCs w:val="18"/>
                <w:lang w:eastAsia="es-MX"/>
              </w:rPr>
              <w:t>Ingeniería y supervisión</w:t>
            </w:r>
          </w:p>
        </w:tc>
        <w:tc>
          <w:tcPr>
            <w:tcW w:w="0" w:type="auto"/>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0.05</w:t>
            </w:r>
          </w:p>
        </w:tc>
      </w:tr>
      <w:tr w:rsidR="00C53055" w:rsidRPr="00C53055" w:rsidTr="00C5305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sidRPr="00C53055">
              <w:rPr>
                <w:rFonts w:cstheme="minorHAnsi"/>
                <w:color w:val="000000"/>
                <w:sz w:val="18"/>
                <w:szCs w:val="18"/>
                <w:lang w:eastAsia="es-MX"/>
              </w:rPr>
              <w:t>Maquinaria</w:t>
            </w:r>
          </w:p>
        </w:tc>
        <w:tc>
          <w:tcPr>
            <w:tcW w:w="0" w:type="auto"/>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0.10</w:t>
            </w:r>
          </w:p>
        </w:tc>
      </w:tr>
      <w:tr w:rsidR="00C53055" w:rsidRPr="00C53055" w:rsidTr="00C5305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53055" w:rsidRPr="00C53055" w:rsidRDefault="00C53055" w:rsidP="002B3FD4">
            <w:pPr>
              <w:keepNext/>
              <w:jc w:val="center"/>
              <w:rPr>
                <w:rFonts w:cstheme="minorHAnsi"/>
                <w:b/>
                <w:bCs/>
                <w:i/>
                <w:iCs/>
                <w:sz w:val="18"/>
                <w:szCs w:val="18"/>
                <w:lang w:eastAsia="es-MX"/>
              </w:rPr>
            </w:pPr>
            <w:r w:rsidRPr="00C53055">
              <w:rPr>
                <w:rFonts w:cstheme="minorHAnsi"/>
                <w:b/>
                <w:bCs/>
                <w:i/>
                <w:iCs/>
                <w:sz w:val="18"/>
                <w:szCs w:val="18"/>
                <w:lang w:eastAsia="es-MX"/>
              </w:rPr>
              <w:t>Total</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53055" w:rsidRPr="00C53055" w:rsidRDefault="00C53055" w:rsidP="002B3FD4">
            <w:pPr>
              <w:keepNext/>
              <w:jc w:val="right"/>
              <w:rPr>
                <w:rFonts w:cstheme="minorHAnsi"/>
                <w:b/>
                <w:bCs/>
                <w:color w:val="000000"/>
                <w:sz w:val="18"/>
                <w:szCs w:val="18"/>
                <w:lang w:eastAsia="es-MX"/>
              </w:rPr>
            </w:pPr>
            <w:r w:rsidRPr="00C53055">
              <w:rPr>
                <w:rFonts w:cstheme="minorHAnsi"/>
                <w:b/>
                <w:bCs/>
                <w:color w:val="000000"/>
                <w:sz w:val="18"/>
                <w:szCs w:val="18"/>
                <w:lang w:eastAsia="es-MX"/>
              </w:rPr>
              <w:t xml:space="preserve"> $4.88 </w:t>
            </w:r>
          </w:p>
        </w:tc>
      </w:tr>
      <w:tr w:rsidR="00C53055" w:rsidRPr="00C53055" w:rsidTr="00C53055">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sidRPr="00C53055">
              <w:rPr>
                <w:rFonts w:cstheme="minorHAnsi"/>
                <w:color w:val="000000"/>
                <w:sz w:val="18"/>
                <w:szCs w:val="18"/>
                <w:lang w:eastAsia="es-MX"/>
              </w:rPr>
              <w:t>Costo de mantenimiento</w:t>
            </w:r>
          </w:p>
        </w:tc>
        <w:tc>
          <w:tcPr>
            <w:tcW w:w="0" w:type="auto"/>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rPr>
                <w:rFonts w:cstheme="minorHAnsi"/>
                <w:b/>
                <w:bCs/>
                <w:sz w:val="18"/>
                <w:szCs w:val="18"/>
                <w:lang w:eastAsia="es-MX"/>
              </w:rPr>
            </w:pPr>
            <w:r w:rsidRPr="00C53055">
              <w:rPr>
                <w:rFonts w:cstheme="minorHAnsi"/>
                <w:b/>
                <w:bCs/>
                <w:sz w:val="18"/>
                <w:szCs w:val="18"/>
                <w:lang w:eastAsia="es-MX"/>
              </w:rPr>
              <w:t> </w:t>
            </w:r>
          </w:p>
        </w:tc>
      </w:tr>
      <w:tr w:rsidR="00C53055" w:rsidRPr="00C53055" w:rsidTr="00C5305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C53055" w:rsidRPr="00C53055" w:rsidRDefault="00C53055" w:rsidP="002B3FD4">
            <w:pPr>
              <w:keepNext/>
              <w:jc w:val="center"/>
              <w:rPr>
                <w:rFonts w:cstheme="minorHAnsi"/>
                <w:b/>
                <w:bCs/>
                <w:color w:val="000000"/>
                <w:sz w:val="18"/>
                <w:szCs w:val="18"/>
                <w:lang w:eastAsia="es-MX"/>
              </w:rPr>
            </w:pPr>
            <w:r w:rsidRPr="00C53055">
              <w:rPr>
                <w:rFonts w:cstheme="minorHAnsi"/>
                <w:b/>
                <w:bCs/>
                <w:color w:val="000000"/>
                <w:sz w:val="18"/>
                <w:szCs w:val="18"/>
                <w:lang w:eastAsia="es-MX"/>
              </w:rPr>
              <w:t>Costo Anual Equivalente (CAE)</w:t>
            </w:r>
          </w:p>
        </w:tc>
        <w:tc>
          <w:tcPr>
            <w:tcW w:w="0" w:type="auto"/>
            <w:tcBorders>
              <w:top w:val="single" w:sz="4" w:space="0" w:color="auto"/>
              <w:left w:val="nil"/>
              <w:bottom w:val="single" w:sz="4" w:space="0" w:color="auto"/>
              <w:right w:val="single" w:sz="4" w:space="0" w:color="auto"/>
            </w:tcBorders>
            <w:shd w:val="clear" w:color="auto" w:fill="FBE4D5" w:themeFill="accent2" w:themeFillTint="33"/>
            <w:vAlign w:val="center"/>
          </w:tcPr>
          <w:p w:rsidR="00C53055" w:rsidRPr="00C53055" w:rsidRDefault="00C53055" w:rsidP="002B3FD4">
            <w:pPr>
              <w:keepNext/>
              <w:jc w:val="right"/>
              <w:rPr>
                <w:rFonts w:cstheme="minorHAnsi"/>
                <w:b/>
                <w:bCs/>
                <w:sz w:val="18"/>
                <w:szCs w:val="18"/>
                <w:lang w:eastAsia="es-MX"/>
              </w:rPr>
            </w:pPr>
            <w:r w:rsidRPr="00C53055">
              <w:rPr>
                <w:rFonts w:cstheme="minorHAnsi"/>
                <w:b/>
                <w:bCs/>
                <w:sz w:val="18"/>
                <w:szCs w:val="18"/>
                <w:lang w:eastAsia="es-MX"/>
              </w:rPr>
              <w:t xml:space="preserve"> $15.05 </w:t>
            </w:r>
          </w:p>
        </w:tc>
      </w:tr>
    </w:tbl>
    <w:p w:rsidR="002B3FD4" w:rsidRPr="00240CEE" w:rsidRDefault="002B3FD4" w:rsidP="002B3FD4">
      <w:pPr>
        <w:jc w:val="center"/>
        <w:rPr>
          <w:sz w:val="18"/>
          <w:szCs w:val="18"/>
          <w:lang w:eastAsia="en-AU"/>
        </w:rPr>
      </w:pPr>
      <w:r w:rsidRPr="00240CEE">
        <w:rPr>
          <w:sz w:val="18"/>
          <w:szCs w:val="18"/>
          <w:lang w:eastAsia="en-AU"/>
        </w:rPr>
        <w:t>Fuente: Elaboración propia con datos de Ferrocarril del Istmo de Tehuantepec, S.A. de C.V.</w:t>
      </w:r>
    </w:p>
    <w:p w:rsidR="00C53055" w:rsidRPr="00F0114B" w:rsidRDefault="00C53055" w:rsidP="00C53055">
      <w:pPr>
        <w:ind w:right="-142"/>
        <w:jc w:val="both"/>
        <w:rPr>
          <w:rFonts w:cstheme="minorHAnsi"/>
          <w:b/>
        </w:rPr>
      </w:pPr>
      <w:r w:rsidRPr="00F0114B">
        <w:rPr>
          <w:rFonts w:cstheme="minorHAnsi"/>
          <w:b/>
        </w:rPr>
        <w:t>Alternativa 2: Durmiente de concreto</w:t>
      </w:r>
    </w:p>
    <w:p w:rsidR="00C53055" w:rsidRPr="00C53055" w:rsidRDefault="00C53055" w:rsidP="00C53055">
      <w:pPr>
        <w:ind w:right="-142"/>
        <w:jc w:val="both"/>
        <w:rPr>
          <w:rFonts w:cstheme="minorHAnsi"/>
        </w:rPr>
      </w:pPr>
      <w:r w:rsidRPr="00C53055">
        <w:rPr>
          <w:rFonts w:cstheme="minorHAnsi"/>
        </w:rPr>
        <w:t>Ventajas:</w:t>
      </w:r>
    </w:p>
    <w:p w:rsidR="00C53055" w:rsidRPr="00C53055" w:rsidRDefault="00C53055" w:rsidP="00C53055">
      <w:pPr>
        <w:pStyle w:val="Prrafodelista"/>
        <w:numPr>
          <w:ilvl w:val="0"/>
          <w:numId w:val="21"/>
        </w:numPr>
        <w:ind w:right="-142"/>
        <w:jc w:val="both"/>
        <w:rPr>
          <w:rFonts w:cstheme="minorHAnsi"/>
        </w:rPr>
      </w:pPr>
      <w:r w:rsidRPr="00C53055">
        <w:rPr>
          <w:rFonts w:cstheme="minorHAnsi"/>
        </w:rPr>
        <w:t>La vida útil de este tipo de durmiente es mayor que la de madera.</w:t>
      </w:r>
    </w:p>
    <w:p w:rsidR="00C53055" w:rsidRPr="00C53055" w:rsidRDefault="00C53055" w:rsidP="00C53055">
      <w:pPr>
        <w:pStyle w:val="Prrafodelista"/>
        <w:numPr>
          <w:ilvl w:val="0"/>
          <w:numId w:val="21"/>
        </w:numPr>
        <w:ind w:right="-142"/>
        <w:jc w:val="both"/>
        <w:rPr>
          <w:rFonts w:cstheme="minorHAnsi"/>
        </w:rPr>
      </w:pPr>
      <w:r w:rsidRPr="00C53055">
        <w:rPr>
          <w:rFonts w:cstheme="minorHAnsi"/>
        </w:rPr>
        <w:t xml:space="preserve">A lo largo de toda la vía se mantienen constantes sus condiciones físicas. </w:t>
      </w:r>
    </w:p>
    <w:p w:rsidR="00C53055" w:rsidRPr="00C53055" w:rsidRDefault="00C53055" w:rsidP="00C53055">
      <w:pPr>
        <w:pStyle w:val="Prrafodelista"/>
        <w:numPr>
          <w:ilvl w:val="0"/>
          <w:numId w:val="21"/>
        </w:numPr>
        <w:ind w:right="-142"/>
        <w:jc w:val="both"/>
        <w:rPr>
          <w:rFonts w:cstheme="minorHAnsi"/>
        </w:rPr>
      </w:pPr>
      <w:r w:rsidRPr="00C53055">
        <w:rPr>
          <w:rFonts w:cstheme="minorHAnsi"/>
        </w:rPr>
        <w:t>Con este material la vía muestra una mayor resistencia a los desplazamientos en su plano.</w:t>
      </w:r>
    </w:p>
    <w:p w:rsidR="00C53055" w:rsidRPr="00C53055" w:rsidRDefault="00C53055" w:rsidP="00C53055">
      <w:pPr>
        <w:pStyle w:val="Prrafodelista"/>
        <w:numPr>
          <w:ilvl w:val="0"/>
          <w:numId w:val="21"/>
        </w:numPr>
        <w:ind w:right="-142"/>
        <w:jc w:val="both"/>
        <w:rPr>
          <w:rFonts w:cstheme="minorHAnsi"/>
        </w:rPr>
      </w:pPr>
      <w:r w:rsidRPr="00C53055">
        <w:rPr>
          <w:rFonts w:cstheme="minorHAnsi"/>
        </w:rPr>
        <w:t>Se puede diseñar en la forma más conveniente para resistir los esfuerzos que habrá de soportar en servicio.</w:t>
      </w:r>
    </w:p>
    <w:p w:rsidR="00C53055" w:rsidRPr="00C53055" w:rsidRDefault="00C53055" w:rsidP="00C53055">
      <w:pPr>
        <w:pStyle w:val="Prrafodelista"/>
        <w:numPr>
          <w:ilvl w:val="0"/>
          <w:numId w:val="21"/>
        </w:numPr>
        <w:ind w:right="-142"/>
        <w:jc w:val="both"/>
        <w:rPr>
          <w:rFonts w:cstheme="minorHAnsi"/>
        </w:rPr>
      </w:pPr>
      <w:r w:rsidRPr="00C53055">
        <w:rPr>
          <w:rFonts w:cstheme="minorHAnsi"/>
        </w:rPr>
        <w:t>Tiempo promedio de vida 50 años.</w:t>
      </w:r>
    </w:p>
    <w:p w:rsidR="00C53055" w:rsidRPr="00C53055" w:rsidRDefault="00C53055" w:rsidP="00C53055">
      <w:pPr>
        <w:ind w:right="-142"/>
        <w:jc w:val="both"/>
        <w:rPr>
          <w:rFonts w:cstheme="minorHAnsi"/>
        </w:rPr>
      </w:pPr>
      <w:r w:rsidRPr="00C53055">
        <w:rPr>
          <w:rFonts w:cstheme="minorHAnsi"/>
        </w:rPr>
        <w:t>Desventajas:</w:t>
      </w:r>
    </w:p>
    <w:p w:rsidR="00C53055" w:rsidRPr="00C53055" w:rsidRDefault="00C53055" w:rsidP="00C53055">
      <w:pPr>
        <w:pStyle w:val="Prrafodelista"/>
        <w:numPr>
          <w:ilvl w:val="0"/>
          <w:numId w:val="22"/>
        </w:numPr>
        <w:ind w:right="-142"/>
        <w:jc w:val="both"/>
        <w:rPr>
          <w:rFonts w:cstheme="minorHAnsi"/>
        </w:rPr>
      </w:pPr>
      <w:r w:rsidRPr="00C53055">
        <w:rPr>
          <w:rFonts w:cstheme="minorHAnsi"/>
        </w:rPr>
        <w:t>El costo unitario del durmiente es mayor que el de madera.</w:t>
      </w:r>
    </w:p>
    <w:p w:rsidR="00C53055" w:rsidRPr="00C53055" w:rsidRDefault="00C53055" w:rsidP="00C53055">
      <w:pPr>
        <w:pStyle w:val="Prrafodelista"/>
        <w:numPr>
          <w:ilvl w:val="0"/>
          <w:numId w:val="22"/>
        </w:numPr>
        <w:ind w:right="-142"/>
        <w:jc w:val="both"/>
        <w:rPr>
          <w:rFonts w:cstheme="minorHAnsi"/>
        </w:rPr>
      </w:pPr>
      <w:r w:rsidRPr="00C53055">
        <w:rPr>
          <w:rFonts w:cstheme="minorHAnsi"/>
        </w:rPr>
        <w:t>Su manejo requiere de mayor esfuerzo ya que pesa aproximadamente 350 kg cada durmiente.</w:t>
      </w:r>
    </w:p>
    <w:p w:rsidR="00C53055" w:rsidRDefault="00C53055" w:rsidP="00C53055">
      <w:pPr>
        <w:ind w:right="-142"/>
        <w:jc w:val="both"/>
        <w:rPr>
          <w:rFonts w:cstheme="minorHAnsi"/>
        </w:rPr>
      </w:pPr>
      <w:r>
        <w:rPr>
          <w:rFonts w:cstheme="minorHAnsi"/>
        </w:rPr>
        <w:t xml:space="preserve">A continuación </w:t>
      </w:r>
      <w:r w:rsidRPr="00C53055">
        <w:rPr>
          <w:rFonts w:cstheme="minorHAnsi"/>
        </w:rPr>
        <w:t>se muestran los costos por Km para construir la vía con durmientes de concreto, así como el costo anual equivalente.</w:t>
      </w:r>
    </w:p>
    <w:p w:rsidR="002B3FD4" w:rsidRDefault="002B3FD4" w:rsidP="00C53055">
      <w:pPr>
        <w:ind w:right="-142"/>
        <w:jc w:val="both"/>
        <w:rPr>
          <w:rFonts w:cstheme="minorHAnsi"/>
        </w:rPr>
      </w:pPr>
    </w:p>
    <w:p w:rsidR="002B3FD4" w:rsidRDefault="002B3FD4" w:rsidP="00C53055">
      <w:pPr>
        <w:ind w:right="-142"/>
        <w:jc w:val="both"/>
        <w:rPr>
          <w:rFonts w:cstheme="minorHAnsi"/>
        </w:rPr>
      </w:pPr>
    </w:p>
    <w:p w:rsidR="002B3FD4" w:rsidRDefault="002B3FD4" w:rsidP="00C53055">
      <w:pPr>
        <w:ind w:right="-142"/>
        <w:jc w:val="both"/>
        <w:rPr>
          <w:rFonts w:cstheme="minorHAnsi"/>
        </w:rPr>
      </w:pPr>
    </w:p>
    <w:p w:rsidR="002B3FD4" w:rsidRDefault="002B3FD4" w:rsidP="00C53055">
      <w:pPr>
        <w:ind w:right="-142"/>
        <w:jc w:val="both"/>
        <w:rPr>
          <w:rFonts w:cstheme="minorHAnsi"/>
        </w:rPr>
      </w:pPr>
    </w:p>
    <w:p w:rsidR="002B3FD4" w:rsidRDefault="002B3FD4" w:rsidP="00C53055">
      <w:pPr>
        <w:ind w:right="-142"/>
        <w:jc w:val="both"/>
        <w:rPr>
          <w:rFonts w:cstheme="minorHAnsi"/>
        </w:rPr>
      </w:pPr>
    </w:p>
    <w:p w:rsidR="002B3FD4" w:rsidRDefault="002B3FD4" w:rsidP="00C53055">
      <w:pPr>
        <w:ind w:right="-142"/>
        <w:jc w:val="both"/>
        <w:rPr>
          <w:rFonts w:cstheme="minorHAnsi"/>
        </w:rPr>
      </w:pPr>
    </w:p>
    <w:p w:rsidR="002B3FD4" w:rsidRDefault="002B3FD4" w:rsidP="00C53055">
      <w:pPr>
        <w:ind w:right="-142"/>
        <w:jc w:val="both"/>
        <w:rPr>
          <w:rFonts w:cstheme="minorHAnsi"/>
        </w:rPr>
      </w:pPr>
    </w:p>
    <w:p w:rsidR="002B3FD4" w:rsidRDefault="002B3FD4" w:rsidP="002B3FD4">
      <w:pPr>
        <w:pStyle w:val="Ttulo3"/>
        <w:jc w:val="center"/>
        <w:rPr>
          <w:color w:val="auto"/>
          <w:sz w:val="20"/>
          <w:szCs w:val="20"/>
        </w:rPr>
      </w:pPr>
      <w:bookmarkStart w:id="85" w:name="_Toc498519526"/>
      <w:r w:rsidRPr="00D538BC">
        <w:rPr>
          <w:color w:val="auto"/>
          <w:sz w:val="20"/>
          <w:szCs w:val="20"/>
        </w:rPr>
        <w:lastRenderedPageBreak/>
        <w:t>T</w:t>
      </w:r>
      <w:r>
        <w:rPr>
          <w:color w:val="auto"/>
          <w:sz w:val="20"/>
          <w:szCs w:val="20"/>
        </w:rPr>
        <w:t>abla 22. Costos Alternativa “B”.</w:t>
      </w:r>
      <w:bookmarkEnd w:id="85"/>
    </w:p>
    <w:tbl>
      <w:tblPr>
        <w:tblW w:w="4835" w:type="pct"/>
        <w:jc w:val="center"/>
        <w:tblCellMar>
          <w:left w:w="70" w:type="dxa"/>
          <w:right w:w="70" w:type="dxa"/>
        </w:tblCellMar>
        <w:tblLook w:val="04A0" w:firstRow="1" w:lastRow="0" w:firstColumn="1" w:lastColumn="0" w:noHBand="0" w:noVBand="1"/>
      </w:tblPr>
      <w:tblGrid>
        <w:gridCol w:w="5600"/>
        <w:gridCol w:w="3300"/>
      </w:tblGrid>
      <w:tr w:rsidR="00C53055" w:rsidRPr="00C53055" w:rsidTr="00C53055">
        <w:trPr>
          <w:trHeight w:val="84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C00000"/>
            <w:vAlign w:val="center"/>
          </w:tcPr>
          <w:p w:rsidR="00C53055" w:rsidRPr="00C53055" w:rsidRDefault="00C53055" w:rsidP="002B3FD4">
            <w:pPr>
              <w:keepNext/>
              <w:jc w:val="center"/>
              <w:rPr>
                <w:rFonts w:cstheme="minorHAnsi"/>
                <w:b/>
                <w:bCs/>
                <w:color w:val="FFFFFF" w:themeColor="background1"/>
                <w:sz w:val="18"/>
                <w:szCs w:val="18"/>
                <w:lang w:eastAsia="es-MX"/>
              </w:rPr>
            </w:pPr>
            <w:r w:rsidRPr="00C53055">
              <w:rPr>
                <w:rFonts w:cstheme="minorHAnsi"/>
                <w:b/>
                <w:bCs/>
                <w:color w:val="FFFFFF" w:themeColor="background1"/>
                <w:sz w:val="18"/>
                <w:szCs w:val="18"/>
                <w:lang w:eastAsia="es-MX"/>
              </w:rPr>
              <w:t xml:space="preserve">Costos para la construcción de un </w:t>
            </w:r>
            <w:proofErr w:type="spellStart"/>
            <w:r w:rsidRPr="00C53055">
              <w:rPr>
                <w:rFonts w:cstheme="minorHAnsi"/>
                <w:b/>
                <w:bCs/>
                <w:color w:val="FFFFFF" w:themeColor="background1"/>
                <w:sz w:val="18"/>
                <w:szCs w:val="18"/>
                <w:lang w:eastAsia="es-MX"/>
              </w:rPr>
              <w:t>Kilometro</w:t>
            </w:r>
            <w:proofErr w:type="spellEnd"/>
            <w:r w:rsidRPr="00C53055">
              <w:rPr>
                <w:rFonts w:cstheme="minorHAnsi"/>
                <w:b/>
                <w:bCs/>
                <w:color w:val="FFFFFF" w:themeColor="background1"/>
                <w:sz w:val="18"/>
                <w:szCs w:val="18"/>
                <w:lang w:eastAsia="es-MX"/>
              </w:rPr>
              <w:t xml:space="preserve"> de vía elástica utilizando riel y accesorios de primera clase de 115Lbs</w:t>
            </w:r>
            <w:proofErr w:type="gramStart"/>
            <w:r w:rsidRPr="00C53055">
              <w:rPr>
                <w:rFonts w:cstheme="minorHAnsi"/>
                <w:b/>
                <w:bCs/>
                <w:color w:val="FFFFFF" w:themeColor="background1"/>
                <w:sz w:val="18"/>
                <w:szCs w:val="18"/>
                <w:lang w:eastAsia="es-MX"/>
              </w:rPr>
              <w:t>./</w:t>
            </w:r>
            <w:proofErr w:type="spellStart"/>
            <w:proofErr w:type="gramEnd"/>
            <w:r w:rsidRPr="00C53055">
              <w:rPr>
                <w:rFonts w:cstheme="minorHAnsi"/>
                <w:b/>
                <w:bCs/>
                <w:color w:val="FFFFFF" w:themeColor="background1"/>
                <w:sz w:val="18"/>
                <w:szCs w:val="18"/>
                <w:lang w:eastAsia="es-MX"/>
              </w:rPr>
              <w:t>Yda</w:t>
            </w:r>
            <w:proofErr w:type="spellEnd"/>
            <w:r w:rsidRPr="00C53055">
              <w:rPr>
                <w:rFonts w:cstheme="minorHAnsi"/>
                <w:b/>
                <w:bCs/>
                <w:color w:val="FFFFFF" w:themeColor="background1"/>
                <w:sz w:val="18"/>
                <w:szCs w:val="18"/>
                <w:lang w:eastAsia="es-MX"/>
              </w:rPr>
              <w:t>. con durmiente de concreto en curva y en tangente</w:t>
            </w:r>
          </w:p>
        </w:tc>
      </w:tr>
      <w:tr w:rsidR="00C53055" w:rsidRPr="00C53055" w:rsidTr="00C53055">
        <w:trPr>
          <w:trHeight w:val="405"/>
          <w:jc w:val="center"/>
        </w:trPr>
        <w:tc>
          <w:tcPr>
            <w:tcW w:w="3146" w:type="pct"/>
            <w:tcBorders>
              <w:top w:val="single" w:sz="4" w:space="0" w:color="auto"/>
              <w:left w:val="single" w:sz="4" w:space="0" w:color="auto"/>
              <w:bottom w:val="single" w:sz="4" w:space="0" w:color="auto"/>
              <w:right w:val="single" w:sz="4" w:space="0" w:color="auto"/>
            </w:tcBorders>
            <w:shd w:val="clear" w:color="auto" w:fill="C00000"/>
            <w:noWrap/>
            <w:vAlign w:val="center"/>
          </w:tcPr>
          <w:p w:rsidR="00C53055" w:rsidRPr="00C53055" w:rsidRDefault="00C53055" w:rsidP="002B3FD4">
            <w:pPr>
              <w:keepNext/>
              <w:jc w:val="center"/>
              <w:rPr>
                <w:rFonts w:cstheme="minorHAnsi"/>
                <w:b/>
                <w:bCs/>
                <w:color w:val="FFFFFF" w:themeColor="background1"/>
                <w:sz w:val="18"/>
                <w:szCs w:val="18"/>
                <w:lang w:eastAsia="es-MX"/>
              </w:rPr>
            </w:pPr>
            <w:r w:rsidRPr="00C53055">
              <w:rPr>
                <w:rFonts w:cstheme="minorHAnsi"/>
                <w:b/>
                <w:bCs/>
                <w:color w:val="FFFFFF" w:themeColor="background1"/>
                <w:sz w:val="18"/>
                <w:szCs w:val="18"/>
                <w:lang w:eastAsia="es-MX"/>
              </w:rPr>
              <w:t>Concepto</w:t>
            </w:r>
          </w:p>
        </w:tc>
        <w:tc>
          <w:tcPr>
            <w:tcW w:w="1854" w:type="pct"/>
            <w:tcBorders>
              <w:top w:val="nil"/>
              <w:left w:val="nil"/>
              <w:bottom w:val="single" w:sz="4" w:space="0" w:color="auto"/>
              <w:right w:val="single" w:sz="4" w:space="0" w:color="auto"/>
            </w:tcBorders>
            <w:shd w:val="clear" w:color="auto" w:fill="C00000"/>
            <w:noWrap/>
            <w:vAlign w:val="center"/>
          </w:tcPr>
          <w:p w:rsidR="00C53055" w:rsidRPr="00C53055" w:rsidRDefault="00C53055" w:rsidP="002B3FD4">
            <w:pPr>
              <w:keepNext/>
              <w:jc w:val="center"/>
              <w:rPr>
                <w:rFonts w:cstheme="minorHAnsi"/>
                <w:b/>
                <w:bCs/>
                <w:color w:val="FFFFFF" w:themeColor="background1"/>
                <w:sz w:val="18"/>
                <w:szCs w:val="18"/>
                <w:lang w:eastAsia="es-MX"/>
              </w:rPr>
            </w:pPr>
            <w:r w:rsidRPr="00C53055">
              <w:rPr>
                <w:rFonts w:cstheme="minorHAnsi"/>
                <w:b/>
                <w:bCs/>
                <w:color w:val="FFFFFF" w:themeColor="background1"/>
                <w:sz w:val="18"/>
                <w:szCs w:val="18"/>
                <w:lang w:eastAsia="es-MX"/>
              </w:rPr>
              <w:t>Costo por km/vía (M</w:t>
            </w:r>
            <w:r>
              <w:rPr>
                <w:rFonts w:cstheme="minorHAnsi"/>
                <w:b/>
                <w:bCs/>
                <w:color w:val="FFFFFF" w:themeColor="background1"/>
                <w:sz w:val="18"/>
                <w:szCs w:val="18"/>
                <w:lang w:eastAsia="es-MX"/>
              </w:rPr>
              <w:t>dp pesos 2009)</w:t>
            </w:r>
          </w:p>
        </w:tc>
      </w:tr>
      <w:tr w:rsidR="00C53055" w:rsidRPr="00C53055" w:rsidTr="002B3FD4">
        <w:trPr>
          <w:trHeight w:val="300"/>
          <w:jc w:val="center"/>
        </w:trPr>
        <w:tc>
          <w:tcPr>
            <w:tcW w:w="3146" w:type="pct"/>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sidRPr="00C53055">
              <w:rPr>
                <w:rFonts w:cstheme="minorHAnsi"/>
                <w:color w:val="000000"/>
                <w:sz w:val="18"/>
                <w:szCs w:val="18"/>
                <w:lang w:eastAsia="es-MX"/>
              </w:rPr>
              <w:t>Materiales</w:t>
            </w:r>
          </w:p>
        </w:tc>
        <w:tc>
          <w:tcPr>
            <w:tcW w:w="1854" w:type="pct"/>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6,45</w:t>
            </w:r>
          </w:p>
        </w:tc>
      </w:tr>
      <w:tr w:rsidR="00C53055" w:rsidRPr="00C53055" w:rsidTr="002B3FD4">
        <w:trPr>
          <w:trHeight w:val="300"/>
          <w:jc w:val="center"/>
        </w:trPr>
        <w:tc>
          <w:tcPr>
            <w:tcW w:w="3146" w:type="pct"/>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Pr>
                <w:rFonts w:cstheme="minorHAnsi"/>
                <w:color w:val="000000"/>
                <w:sz w:val="18"/>
                <w:szCs w:val="18"/>
                <w:lang w:eastAsia="es-MX"/>
              </w:rPr>
              <w:t>Mano de obra</w:t>
            </w:r>
          </w:p>
        </w:tc>
        <w:tc>
          <w:tcPr>
            <w:tcW w:w="1854" w:type="pct"/>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0.17</w:t>
            </w:r>
          </w:p>
        </w:tc>
      </w:tr>
      <w:tr w:rsidR="00C53055" w:rsidRPr="00C53055" w:rsidTr="002B3FD4">
        <w:trPr>
          <w:trHeight w:val="300"/>
          <w:jc w:val="center"/>
        </w:trPr>
        <w:tc>
          <w:tcPr>
            <w:tcW w:w="3146" w:type="pct"/>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sidRPr="00C53055">
              <w:rPr>
                <w:rFonts w:cstheme="minorHAnsi"/>
                <w:color w:val="000000"/>
                <w:sz w:val="18"/>
                <w:szCs w:val="18"/>
                <w:lang w:eastAsia="es-MX"/>
              </w:rPr>
              <w:t>Ingeniería y supervisión</w:t>
            </w:r>
          </w:p>
        </w:tc>
        <w:tc>
          <w:tcPr>
            <w:tcW w:w="1854" w:type="pct"/>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0.02</w:t>
            </w:r>
          </w:p>
        </w:tc>
      </w:tr>
      <w:tr w:rsidR="00C53055" w:rsidRPr="00C53055" w:rsidTr="002B3FD4">
        <w:trPr>
          <w:trHeight w:val="300"/>
          <w:jc w:val="center"/>
        </w:trPr>
        <w:tc>
          <w:tcPr>
            <w:tcW w:w="3146" w:type="pct"/>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color w:val="000000"/>
                <w:sz w:val="18"/>
                <w:szCs w:val="18"/>
                <w:lang w:eastAsia="es-MX"/>
              </w:rPr>
            </w:pPr>
            <w:r w:rsidRPr="00C53055">
              <w:rPr>
                <w:rFonts w:cstheme="minorHAnsi"/>
                <w:color w:val="000000"/>
                <w:sz w:val="18"/>
                <w:szCs w:val="18"/>
                <w:lang w:eastAsia="es-MX"/>
              </w:rPr>
              <w:t>Maquinaria</w:t>
            </w:r>
          </w:p>
        </w:tc>
        <w:tc>
          <w:tcPr>
            <w:tcW w:w="1854" w:type="pct"/>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0.08</w:t>
            </w:r>
          </w:p>
        </w:tc>
      </w:tr>
      <w:tr w:rsidR="00C53055" w:rsidRPr="00C53055" w:rsidTr="00C53055">
        <w:trPr>
          <w:trHeight w:val="300"/>
          <w:jc w:val="center"/>
        </w:trPr>
        <w:tc>
          <w:tcPr>
            <w:tcW w:w="3146" w:type="pct"/>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C53055" w:rsidRPr="00C53055" w:rsidRDefault="00C53055" w:rsidP="002B3FD4">
            <w:pPr>
              <w:keepNext/>
              <w:jc w:val="center"/>
              <w:rPr>
                <w:rFonts w:cstheme="minorHAnsi"/>
                <w:b/>
                <w:bCs/>
                <w:i/>
                <w:iCs/>
                <w:sz w:val="18"/>
                <w:szCs w:val="18"/>
                <w:lang w:eastAsia="es-MX"/>
              </w:rPr>
            </w:pPr>
            <w:r w:rsidRPr="00C53055">
              <w:rPr>
                <w:rFonts w:cstheme="minorHAnsi"/>
                <w:b/>
                <w:bCs/>
                <w:i/>
                <w:iCs/>
                <w:sz w:val="18"/>
                <w:szCs w:val="18"/>
                <w:lang w:eastAsia="es-MX"/>
              </w:rPr>
              <w:t>Total</w:t>
            </w:r>
          </w:p>
        </w:tc>
        <w:tc>
          <w:tcPr>
            <w:tcW w:w="1854" w:type="pct"/>
            <w:tcBorders>
              <w:top w:val="nil"/>
              <w:left w:val="nil"/>
              <w:bottom w:val="single" w:sz="4" w:space="0" w:color="auto"/>
              <w:right w:val="single" w:sz="4" w:space="0" w:color="auto"/>
            </w:tcBorders>
            <w:shd w:val="clear" w:color="auto" w:fill="FBE4D5" w:themeFill="accent2" w:themeFillTint="33"/>
            <w:vAlign w:val="center"/>
          </w:tcPr>
          <w:p w:rsidR="00C53055" w:rsidRPr="00C53055" w:rsidRDefault="00C53055" w:rsidP="002B3FD4">
            <w:pPr>
              <w:keepNext/>
              <w:jc w:val="right"/>
              <w:rPr>
                <w:rFonts w:cstheme="minorHAnsi"/>
                <w:b/>
                <w:bCs/>
                <w:color w:val="000000"/>
                <w:sz w:val="18"/>
                <w:szCs w:val="18"/>
                <w:lang w:eastAsia="es-MX"/>
              </w:rPr>
            </w:pPr>
            <w:r w:rsidRPr="00C53055">
              <w:rPr>
                <w:rFonts w:cstheme="minorHAnsi"/>
                <w:b/>
                <w:bCs/>
                <w:color w:val="000000"/>
                <w:sz w:val="18"/>
                <w:szCs w:val="18"/>
                <w:lang w:eastAsia="es-MX"/>
              </w:rPr>
              <w:t xml:space="preserve"> $6.72 </w:t>
            </w:r>
          </w:p>
        </w:tc>
      </w:tr>
      <w:tr w:rsidR="00C53055" w:rsidRPr="00C53055" w:rsidTr="00C53055">
        <w:trPr>
          <w:trHeight w:val="300"/>
          <w:jc w:val="center"/>
        </w:trPr>
        <w:tc>
          <w:tcPr>
            <w:tcW w:w="3146" w:type="pct"/>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C53055" w:rsidRPr="00C53055" w:rsidRDefault="00C53055" w:rsidP="002B3FD4">
            <w:pPr>
              <w:keepNext/>
              <w:jc w:val="center"/>
              <w:rPr>
                <w:rFonts w:cstheme="minorHAnsi"/>
                <w:b/>
                <w:color w:val="000000"/>
                <w:sz w:val="18"/>
                <w:szCs w:val="18"/>
                <w:lang w:eastAsia="es-MX"/>
              </w:rPr>
            </w:pPr>
            <w:r w:rsidRPr="00C53055">
              <w:rPr>
                <w:rFonts w:cstheme="minorHAnsi"/>
                <w:b/>
                <w:color w:val="000000"/>
                <w:sz w:val="18"/>
                <w:szCs w:val="18"/>
                <w:lang w:eastAsia="es-MX"/>
              </w:rPr>
              <w:t>Costo de mantenimiento</w:t>
            </w:r>
          </w:p>
        </w:tc>
        <w:tc>
          <w:tcPr>
            <w:tcW w:w="1854" w:type="pct"/>
            <w:tcBorders>
              <w:top w:val="nil"/>
              <w:left w:val="nil"/>
              <w:bottom w:val="single" w:sz="4" w:space="0" w:color="auto"/>
              <w:right w:val="single" w:sz="4" w:space="0" w:color="auto"/>
            </w:tcBorders>
            <w:shd w:val="clear" w:color="auto" w:fill="FBE4D5" w:themeFill="accent2" w:themeFillTint="33"/>
            <w:vAlign w:val="center"/>
          </w:tcPr>
          <w:p w:rsidR="00C53055" w:rsidRPr="00C53055" w:rsidRDefault="00C53055" w:rsidP="002B3FD4">
            <w:pPr>
              <w:keepNext/>
              <w:jc w:val="right"/>
              <w:rPr>
                <w:rFonts w:cstheme="minorHAnsi"/>
                <w:b/>
                <w:bCs/>
                <w:sz w:val="18"/>
                <w:szCs w:val="18"/>
                <w:lang w:eastAsia="es-MX"/>
              </w:rPr>
            </w:pPr>
          </w:p>
        </w:tc>
      </w:tr>
      <w:tr w:rsidR="00C53055" w:rsidRPr="00C53055" w:rsidTr="002B3FD4">
        <w:trPr>
          <w:trHeight w:val="300"/>
          <w:jc w:val="center"/>
        </w:trPr>
        <w:tc>
          <w:tcPr>
            <w:tcW w:w="3146" w:type="pct"/>
            <w:tcBorders>
              <w:top w:val="single" w:sz="4" w:space="0" w:color="auto"/>
              <w:left w:val="single" w:sz="4" w:space="0" w:color="auto"/>
              <w:bottom w:val="single" w:sz="4" w:space="0" w:color="auto"/>
              <w:right w:val="single" w:sz="4" w:space="0" w:color="000000"/>
            </w:tcBorders>
            <w:shd w:val="clear" w:color="auto" w:fill="auto"/>
            <w:vAlign w:val="center"/>
          </w:tcPr>
          <w:p w:rsidR="00C53055" w:rsidRPr="00C53055" w:rsidRDefault="00C53055" w:rsidP="002B3FD4">
            <w:pPr>
              <w:keepNext/>
              <w:rPr>
                <w:rFonts w:cstheme="minorHAnsi"/>
                <w:i/>
                <w:iCs/>
                <w:sz w:val="18"/>
                <w:szCs w:val="18"/>
                <w:lang w:eastAsia="es-MX"/>
              </w:rPr>
            </w:pPr>
            <w:r w:rsidRPr="00C53055">
              <w:rPr>
                <w:rFonts w:cstheme="minorHAnsi"/>
                <w:i/>
                <w:iCs/>
                <w:sz w:val="18"/>
                <w:szCs w:val="18"/>
                <w:lang w:eastAsia="es-MX"/>
              </w:rPr>
              <w:t>Cada 5 años por cambio de fijaciones</w:t>
            </w:r>
          </w:p>
        </w:tc>
        <w:tc>
          <w:tcPr>
            <w:tcW w:w="1854" w:type="pct"/>
            <w:tcBorders>
              <w:top w:val="nil"/>
              <w:left w:val="nil"/>
              <w:bottom w:val="single" w:sz="4" w:space="0" w:color="auto"/>
              <w:right w:val="single" w:sz="4" w:space="0" w:color="auto"/>
            </w:tcBorders>
            <w:shd w:val="clear" w:color="auto" w:fill="auto"/>
            <w:vAlign w:val="center"/>
          </w:tcPr>
          <w:p w:rsidR="00C53055" w:rsidRPr="00C53055" w:rsidRDefault="00C53055" w:rsidP="002B3FD4">
            <w:pPr>
              <w:keepNext/>
              <w:jc w:val="right"/>
              <w:rPr>
                <w:rFonts w:cstheme="minorHAnsi"/>
                <w:color w:val="000000"/>
                <w:sz w:val="18"/>
                <w:szCs w:val="18"/>
                <w:lang w:eastAsia="es-MX"/>
              </w:rPr>
            </w:pPr>
            <w:r w:rsidRPr="00C53055">
              <w:rPr>
                <w:rFonts w:cstheme="minorHAnsi"/>
                <w:color w:val="000000"/>
                <w:sz w:val="18"/>
                <w:szCs w:val="18"/>
                <w:lang w:eastAsia="es-MX"/>
              </w:rPr>
              <w:t>0.30</w:t>
            </w:r>
          </w:p>
        </w:tc>
      </w:tr>
      <w:tr w:rsidR="00C53055" w:rsidRPr="00C53055" w:rsidTr="00C53055">
        <w:trPr>
          <w:trHeight w:val="480"/>
          <w:jc w:val="center"/>
        </w:trPr>
        <w:tc>
          <w:tcPr>
            <w:tcW w:w="3146"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rsidR="00C53055" w:rsidRPr="00C53055" w:rsidRDefault="00C53055" w:rsidP="002B3FD4">
            <w:pPr>
              <w:keepNext/>
              <w:jc w:val="center"/>
              <w:rPr>
                <w:rFonts w:cstheme="minorHAnsi"/>
                <w:b/>
                <w:bCs/>
                <w:color w:val="000000"/>
                <w:sz w:val="18"/>
                <w:szCs w:val="18"/>
                <w:lang w:eastAsia="es-MX"/>
              </w:rPr>
            </w:pPr>
            <w:r w:rsidRPr="00C53055">
              <w:rPr>
                <w:rFonts w:cstheme="minorHAnsi"/>
                <w:b/>
                <w:bCs/>
                <w:color w:val="000000"/>
                <w:sz w:val="18"/>
                <w:szCs w:val="18"/>
                <w:lang w:eastAsia="es-MX"/>
              </w:rPr>
              <w:t>Costo Anual Equivalente (CAE)</w:t>
            </w:r>
          </w:p>
        </w:tc>
        <w:tc>
          <w:tcPr>
            <w:tcW w:w="1854" w:type="pct"/>
            <w:tcBorders>
              <w:top w:val="nil"/>
              <w:left w:val="nil"/>
              <w:bottom w:val="single" w:sz="4" w:space="0" w:color="auto"/>
              <w:right w:val="single" w:sz="4" w:space="0" w:color="auto"/>
            </w:tcBorders>
            <w:shd w:val="clear" w:color="auto" w:fill="FBE4D5" w:themeFill="accent2" w:themeFillTint="33"/>
            <w:vAlign w:val="center"/>
          </w:tcPr>
          <w:p w:rsidR="00C53055" w:rsidRPr="00C53055" w:rsidRDefault="00C53055" w:rsidP="002B3FD4">
            <w:pPr>
              <w:keepNext/>
              <w:jc w:val="right"/>
              <w:rPr>
                <w:rFonts w:cstheme="minorHAnsi"/>
                <w:b/>
                <w:bCs/>
                <w:sz w:val="18"/>
                <w:szCs w:val="18"/>
                <w:lang w:eastAsia="es-MX"/>
              </w:rPr>
            </w:pPr>
            <w:r w:rsidRPr="00C53055">
              <w:rPr>
                <w:rFonts w:cstheme="minorHAnsi"/>
                <w:b/>
                <w:bCs/>
                <w:sz w:val="18"/>
                <w:szCs w:val="18"/>
                <w:lang w:eastAsia="es-MX"/>
              </w:rPr>
              <w:t xml:space="preserve"> $9.57</w:t>
            </w:r>
          </w:p>
        </w:tc>
      </w:tr>
    </w:tbl>
    <w:p w:rsidR="00C53055" w:rsidRDefault="00C53055" w:rsidP="00C53055">
      <w:pPr>
        <w:ind w:right="-142"/>
        <w:jc w:val="both"/>
        <w:rPr>
          <w:rFonts w:cstheme="minorHAnsi"/>
        </w:rPr>
      </w:pPr>
    </w:p>
    <w:p w:rsidR="00C53055" w:rsidRPr="00DC2E77" w:rsidRDefault="00C53055" w:rsidP="00C53055">
      <w:pPr>
        <w:ind w:right="-142"/>
        <w:jc w:val="both"/>
        <w:rPr>
          <w:rFonts w:cstheme="minorHAnsi"/>
        </w:rPr>
      </w:pPr>
      <w:r w:rsidRPr="00C53055">
        <w:rPr>
          <w:rFonts w:cstheme="minorHAnsi"/>
        </w:rPr>
        <w:t>De acuerdo a los valores encontrados del CAE, se señala a la alternativa de construcción con durmientes de concreto como la mejor opción, debido a que representa menores costos anuales para el proyecto.</w:t>
      </w:r>
    </w:p>
    <w:p w:rsidR="008C1B23" w:rsidRPr="00240CEE" w:rsidRDefault="00240CEE" w:rsidP="00240CEE">
      <w:pPr>
        <w:pStyle w:val="Ttulo2"/>
        <w:rPr>
          <w:rFonts w:asciiTheme="minorHAnsi" w:hAnsiTheme="minorHAnsi" w:cstheme="minorHAnsi"/>
          <w:b/>
          <w:color w:val="auto"/>
          <w:sz w:val="22"/>
        </w:rPr>
      </w:pPr>
      <w:bookmarkStart w:id="86" w:name="_Toc498519527"/>
      <w:r>
        <w:rPr>
          <w:rFonts w:asciiTheme="minorHAnsi" w:hAnsiTheme="minorHAnsi" w:cstheme="minorHAnsi"/>
          <w:b/>
          <w:color w:val="auto"/>
          <w:sz w:val="22"/>
        </w:rPr>
        <w:t>h</w:t>
      </w:r>
      <w:r w:rsidR="008C1B23" w:rsidRPr="00085FBF">
        <w:rPr>
          <w:rFonts w:asciiTheme="minorHAnsi" w:hAnsiTheme="minorHAnsi" w:cstheme="minorHAnsi"/>
          <w:b/>
          <w:color w:val="auto"/>
          <w:sz w:val="22"/>
        </w:rPr>
        <w:t xml:space="preserve">) </w:t>
      </w:r>
      <w:r w:rsidR="00AE312B" w:rsidRPr="00085FBF">
        <w:rPr>
          <w:rFonts w:asciiTheme="minorHAnsi" w:hAnsiTheme="minorHAnsi" w:cstheme="minorHAnsi"/>
          <w:b/>
          <w:color w:val="auto"/>
          <w:sz w:val="22"/>
        </w:rPr>
        <w:t>Localización geográfica del proyecto</w:t>
      </w:r>
      <w:r w:rsidR="005B3976" w:rsidRPr="00085FBF">
        <w:rPr>
          <w:rFonts w:asciiTheme="minorHAnsi" w:hAnsiTheme="minorHAnsi" w:cstheme="minorHAnsi"/>
          <w:b/>
          <w:color w:val="auto"/>
          <w:sz w:val="22"/>
        </w:rPr>
        <w:t>.</w:t>
      </w:r>
      <w:bookmarkEnd w:id="86"/>
    </w:p>
    <w:p w:rsidR="005E651A" w:rsidRDefault="00085FBF" w:rsidP="005B3976">
      <w:pPr>
        <w:jc w:val="both"/>
        <w:rPr>
          <w:szCs w:val="24"/>
        </w:rPr>
      </w:pPr>
      <w:r>
        <w:rPr>
          <w:szCs w:val="24"/>
        </w:rPr>
        <w:t>El Libramiento Ferroviario de Tapachula se encuentra</w:t>
      </w:r>
      <w:r w:rsidR="005C0C7A">
        <w:rPr>
          <w:szCs w:val="24"/>
        </w:rPr>
        <w:t xml:space="preserve"> al sureste del</w:t>
      </w:r>
      <w:r>
        <w:rPr>
          <w:szCs w:val="24"/>
        </w:rPr>
        <w:t xml:space="preserve"> estado de Chiapas</w:t>
      </w:r>
      <w:r w:rsidR="005C0C7A">
        <w:rPr>
          <w:szCs w:val="24"/>
        </w:rPr>
        <w:t>, correspondiente a la línea “K”</w:t>
      </w:r>
      <w:r w:rsidR="00240CEE">
        <w:rPr>
          <w:szCs w:val="24"/>
        </w:rPr>
        <w:t xml:space="preserve"> del ferrocarril.</w:t>
      </w:r>
      <w:r w:rsidR="005C0C7A">
        <w:rPr>
          <w:szCs w:val="24"/>
        </w:rPr>
        <w:t xml:space="preserve"> </w:t>
      </w:r>
    </w:p>
    <w:p w:rsidR="005B3976" w:rsidRDefault="005B3976" w:rsidP="005B3976">
      <w:pPr>
        <w:jc w:val="both"/>
        <w:rPr>
          <w:szCs w:val="24"/>
        </w:rPr>
      </w:pPr>
      <w:r>
        <w:rPr>
          <w:szCs w:val="24"/>
        </w:rPr>
        <w:t>La</w:t>
      </w:r>
      <w:r w:rsidR="005E651A">
        <w:rPr>
          <w:szCs w:val="24"/>
        </w:rPr>
        <w:t>s</w:t>
      </w:r>
      <w:r>
        <w:rPr>
          <w:szCs w:val="24"/>
        </w:rPr>
        <w:t xml:space="preserve"> tabla</w:t>
      </w:r>
      <w:r w:rsidR="005E651A">
        <w:rPr>
          <w:szCs w:val="24"/>
        </w:rPr>
        <w:t>s</w:t>
      </w:r>
      <w:r>
        <w:rPr>
          <w:szCs w:val="24"/>
        </w:rPr>
        <w:t xml:space="preserve"> siguiente</w:t>
      </w:r>
      <w:r w:rsidR="005E651A">
        <w:rPr>
          <w:szCs w:val="24"/>
        </w:rPr>
        <w:t>s</w:t>
      </w:r>
      <w:r>
        <w:rPr>
          <w:szCs w:val="24"/>
        </w:rPr>
        <w:t xml:space="preserve"> muestra la ubicación en coordenadas geográficas del proyecto:</w:t>
      </w:r>
    </w:p>
    <w:p w:rsidR="00933841" w:rsidRDefault="00933841" w:rsidP="00933841">
      <w:pPr>
        <w:pStyle w:val="Ttulo3"/>
        <w:ind w:left="-5"/>
        <w:jc w:val="center"/>
        <w:rPr>
          <w:rFonts w:ascii="Calibri" w:hAnsi="Calibri"/>
          <w:color w:val="auto"/>
          <w:sz w:val="20"/>
          <w:szCs w:val="20"/>
        </w:rPr>
      </w:pPr>
      <w:bookmarkStart w:id="87" w:name="_Toc498519528"/>
      <w:r>
        <w:rPr>
          <w:color w:val="auto"/>
          <w:sz w:val="20"/>
          <w:szCs w:val="20"/>
        </w:rPr>
        <w:t>Tabl</w:t>
      </w:r>
      <w:r w:rsidR="002B3FD4">
        <w:rPr>
          <w:color w:val="auto"/>
          <w:sz w:val="20"/>
          <w:szCs w:val="20"/>
        </w:rPr>
        <w:t>a 23. Coordenadas del Libramiento de Tapachula</w:t>
      </w:r>
      <w:r>
        <w:rPr>
          <w:color w:val="auto"/>
          <w:sz w:val="20"/>
          <w:szCs w:val="20"/>
        </w:rPr>
        <w:t>.</w:t>
      </w:r>
      <w:bookmarkEnd w:id="87"/>
    </w:p>
    <w:tbl>
      <w:tblPr>
        <w:tblW w:w="3114" w:type="dxa"/>
        <w:jc w:val="center"/>
        <w:tblCellMar>
          <w:left w:w="70" w:type="dxa"/>
          <w:right w:w="70" w:type="dxa"/>
        </w:tblCellMar>
        <w:tblLook w:val="04A0" w:firstRow="1" w:lastRow="0" w:firstColumn="1" w:lastColumn="0" w:noHBand="0" w:noVBand="1"/>
      </w:tblPr>
      <w:tblGrid>
        <w:gridCol w:w="1123"/>
        <w:gridCol w:w="916"/>
        <w:gridCol w:w="1075"/>
      </w:tblGrid>
      <w:tr w:rsidR="00085FBF" w:rsidRPr="00085FBF" w:rsidTr="00085FBF">
        <w:trPr>
          <w:trHeight w:val="300"/>
          <w:jc w:val="center"/>
        </w:trPr>
        <w:tc>
          <w:tcPr>
            <w:tcW w:w="1123" w:type="dxa"/>
            <w:tcBorders>
              <w:top w:val="nil"/>
              <w:left w:val="single" w:sz="4" w:space="0" w:color="auto"/>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Coordenadas</w:t>
            </w:r>
          </w:p>
        </w:tc>
        <w:tc>
          <w:tcPr>
            <w:tcW w:w="916"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Inicio</w:t>
            </w:r>
          </w:p>
        </w:tc>
        <w:tc>
          <w:tcPr>
            <w:tcW w:w="1075"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Final</w:t>
            </w:r>
          </w:p>
        </w:tc>
      </w:tr>
      <w:tr w:rsidR="00085FBF" w:rsidRPr="00085FBF" w:rsidTr="00085FBF">
        <w:trPr>
          <w:trHeight w:val="300"/>
          <w:jc w:val="center"/>
        </w:trPr>
        <w:tc>
          <w:tcPr>
            <w:tcW w:w="1123"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Latitud</w:t>
            </w:r>
          </w:p>
        </w:tc>
        <w:tc>
          <w:tcPr>
            <w:tcW w:w="916"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14.899097</w:t>
            </w:r>
          </w:p>
        </w:tc>
        <w:tc>
          <w:tcPr>
            <w:tcW w:w="1075"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-92.35058</w:t>
            </w:r>
          </w:p>
        </w:tc>
      </w:tr>
      <w:tr w:rsidR="00085FBF" w:rsidRPr="00085FBF" w:rsidTr="00085FBF">
        <w:trPr>
          <w:trHeight w:val="300"/>
          <w:jc w:val="center"/>
        </w:trPr>
        <w:tc>
          <w:tcPr>
            <w:tcW w:w="1123"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Longitud</w:t>
            </w:r>
          </w:p>
        </w:tc>
        <w:tc>
          <w:tcPr>
            <w:tcW w:w="916"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14.905113</w:t>
            </w:r>
          </w:p>
        </w:tc>
        <w:tc>
          <w:tcPr>
            <w:tcW w:w="1075"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-92.35567</w:t>
            </w:r>
          </w:p>
        </w:tc>
      </w:tr>
    </w:tbl>
    <w:p w:rsidR="00933841" w:rsidRDefault="00933841" w:rsidP="00933841">
      <w:pPr>
        <w:ind w:left="3686"/>
        <w:rPr>
          <w:rFonts w:eastAsia="Times New Roman" w:cs="Arial"/>
          <w:sz w:val="20"/>
          <w:szCs w:val="16"/>
          <w:lang w:eastAsia="es-MX"/>
        </w:rPr>
      </w:pPr>
      <w:r w:rsidRPr="00AE312B">
        <w:rPr>
          <w:rFonts w:eastAsia="Times New Roman" w:cs="Arial"/>
          <w:sz w:val="20"/>
          <w:szCs w:val="16"/>
          <w:lang w:eastAsia="es-MX"/>
        </w:rPr>
        <w:t>Fuente: Elaboración propia.</w:t>
      </w:r>
    </w:p>
    <w:p w:rsidR="002B3FD4" w:rsidRDefault="002B3FD4" w:rsidP="002B3FD4">
      <w:pPr>
        <w:pStyle w:val="Ttulo3"/>
        <w:ind w:left="-5"/>
        <w:jc w:val="center"/>
        <w:rPr>
          <w:rFonts w:ascii="Calibri" w:hAnsi="Calibri"/>
          <w:color w:val="auto"/>
          <w:sz w:val="20"/>
          <w:szCs w:val="20"/>
        </w:rPr>
      </w:pPr>
      <w:bookmarkStart w:id="88" w:name="_Toc498519529"/>
      <w:r>
        <w:rPr>
          <w:color w:val="auto"/>
          <w:sz w:val="20"/>
          <w:szCs w:val="20"/>
        </w:rPr>
        <w:t xml:space="preserve">Tabla 24. Coordenadas del Puente </w:t>
      </w:r>
      <w:proofErr w:type="spellStart"/>
      <w:r>
        <w:rPr>
          <w:color w:val="auto"/>
          <w:sz w:val="20"/>
          <w:szCs w:val="20"/>
        </w:rPr>
        <w:t>Coatan</w:t>
      </w:r>
      <w:proofErr w:type="spellEnd"/>
      <w:r>
        <w:rPr>
          <w:color w:val="auto"/>
          <w:sz w:val="20"/>
          <w:szCs w:val="20"/>
        </w:rPr>
        <w:t>.</w:t>
      </w:r>
      <w:bookmarkEnd w:id="88"/>
    </w:p>
    <w:tbl>
      <w:tblPr>
        <w:tblW w:w="3600" w:type="dxa"/>
        <w:jc w:val="center"/>
        <w:tblCellMar>
          <w:left w:w="70" w:type="dxa"/>
          <w:right w:w="70" w:type="dxa"/>
        </w:tblCellMar>
        <w:tblLook w:val="04A0" w:firstRow="1" w:lastRow="0" w:firstColumn="1" w:lastColumn="0" w:noHBand="0" w:noVBand="1"/>
      </w:tblPr>
      <w:tblGrid>
        <w:gridCol w:w="1364"/>
        <w:gridCol w:w="1080"/>
        <w:gridCol w:w="1156"/>
      </w:tblGrid>
      <w:tr w:rsidR="00085FBF" w:rsidRPr="00085FBF" w:rsidTr="00085FBF">
        <w:trPr>
          <w:trHeight w:val="300"/>
          <w:jc w:val="center"/>
        </w:trPr>
        <w:tc>
          <w:tcPr>
            <w:tcW w:w="1364" w:type="dxa"/>
            <w:tcBorders>
              <w:top w:val="nil"/>
              <w:left w:val="single" w:sz="4" w:space="0" w:color="auto"/>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Coordenadas</w:t>
            </w:r>
          </w:p>
        </w:tc>
        <w:tc>
          <w:tcPr>
            <w:tcW w:w="1080"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Inicio</w:t>
            </w:r>
          </w:p>
        </w:tc>
        <w:tc>
          <w:tcPr>
            <w:tcW w:w="1156"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Final</w:t>
            </w:r>
          </w:p>
        </w:tc>
      </w:tr>
      <w:tr w:rsidR="00085FBF" w:rsidRPr="00085FBF" w:rsidTr="00085FBF">
        <w:trPr>
          <w:trHeight w:val="300"/>
          <w:jc w:val="center"/>
        </w:trPr>
        <w:tc>
          <w:tcPr>
            <w:tcW w:w="1364"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Latitud</w:t>
            </w:r>
          </w:p>
        </w:tc>
        <w:tc>
          <w:tcPr>
            <w:tcW w:w="1080"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14.900112</w:t>
            </w:r>
          </w:p>
        </w:tc>
        <w:tc>
          <w:tcPr>
            <w:tcW w:w="1156"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-92.35058</w:t>
            </w:r>
          </w:p>
        </w:tc>
      </w:tr>
      <w:tr w:rsidR="00085FBF" w:rsidRPr="00085FBF" w:rsidTr="00085FBF">
        <w:trPr>
          <w:trHeight w:val="300"/>
          <w:jc w:val="center"/>
        </w:trPr>
        <w:tc>
          <w:tcPr>
            <w:tcW w:w="1364"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Longitud</w:t>
            </w:r>
          </w:p>
        </w:tc>
        <w:tc>
          <w:tcPr>
            <w:tcW w:w="1080"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14.896765</w:t>
            </w:r>
          </w:p>
        </w:tc>
        <w:tc>
          <w:tcPr>
            <w:tcW w:w="1156"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-92.350561</w:t>
            </w:r>
          </w:p>
        </w:tc>
      </w:tr>
    </w:tbl>
    <w:p w:rsidR="002B3FD4" w:rsidRDefault="002B3FD4" w:rsidP="002B3FD4">
      <w:pPr>
        <w:ind w:left="3686"/>
        <w:rPr>
          <w:rFonts w:eastAsia="Times New Roman" w:cs="Arial"/>
          <w:sz w:val="20"/>
          <w:szCs w:val="16"/>
          <w:lang w:eastAsia="es-MX"/>
        </w:rPr>
      </w:pPr>
      <w:r w:rsidRPr="00AE312B">
        <w:rPr>
          <w:rFonts w:eastAsia="Times New Roman" w:cs="Arial"/>
          <w:sz w:val="20"/>
          <w:szCs w:val="16"/>
          <w:lang w:eastAsia="es-MX"/>
        </w:rPr>
        <w:t>Fuente: Elaboración propia.</w:t>
      </w:r>
    </w:p>
    <w:p w:rsidR="002613A9" w:rsidRDefault="002613A9" w:rsidP="002613A9">
      <w:pPr>
        <w:pStyle w:val="Ttulo3"/>
        <w:ind w:left="-5"/>
        <w:jc w:val="center"/>
        <w:rPr>
          <w:rFonts w:ascii="Calibri" w:hAnsi="Calibri"/>
          <w:color w:val="auto"/>
          <w:sz w:val="20"/>
          <w:szCs w:val="20"/>
        </w:rPr>
      </w:pPr>
      <w:bookmarkStart w:id="89" w:name="OLE_LINK2"/>
      <w:bookmarkStart w:id="90" w:name="OLE_LINK3"/>
      <w:bookmarkStart w:id="91" w:name="_Toc498519530"/>
      <w:r>
        <w:rPr>
          <w:color w:val="auto"/>
          <w:sz w:val="20"/>
          <w:szCs w:val="20"/>
        </w:rPr>
        <w:t>Tabla 24. Coordenadas del Puente Hidalgo.</w:t>
      </w:r>
      <w:bookmarkEnd w:id="91"/>
    </w:p>
    <w:tbl>
      <w:tblPr>
        <w:tblW w:w="3600" w:type="dxa"/>
        <w:jc w:val="center"/>
        <w:tblCellMar>
          <w:left w:w="70" w:type="dxa"/>
          <w:right w:w="70" w:type="dxa"/>
        </w:tblCellMar>
        <w:tblLook w:val="04A0" w:firstRow="1" w:lastRow="0" w:firstColumn="1" w:lastColumn="0" w:noHBand="0" w:noVBand="1"/>
      </w:tblPr>
      <w:tblGrid>
        <w:gridCol w:w="1364"/>
        <w:gridCol w:w="1080"/>
        <w:gridCol w:w="1156"/>
      </w:tblGrid>
      <w:tr w:rsidR="00085FBF" w:rsidRPr="00085FBF" w:rsidTr="00085FBF">
        <w:trPr>
          <w:trHeight w:val="300"/>
          <w:jc w:val="center"/>
        </w:trPr>
        <w:tc>
          <w:tcPr>
            <w:tcW w:w="1364" w:type="dxa"/>
            <w:tcBorders>
              <w:top w:val="nil"/>
              <w:left w:val="single" w:sz="4" w:space="0" w:color="auto"/>
              <w:bottom w:val="single" w:sz="4" w:space="0" w:color="auto"/>
              <w:right w:val="single" w:sz="4" w:space="0" w:color="auto"/>
            </w:tcBorders>
            <w:shd w:val="clear" w:color="000000" w:fill="C00000"/>
            <w:noWrap/>
            <w:vAlign w:val="center"/>
            <w:hideMark/>
          </w:tcPr>
          <w:bookmarkEnd w:id="89"/>
          <w:bookmarkEnd w:id="90"/>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Coordenadas</w:t>
            </w:r>
          </w:p>
        </w:tc>
        <w:tc>
          <w:tcPr>
            <w:tcW w:w="1080"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Inicio</w:t>
            </w:r>
          </w:p>
        </w:tc>
        <w:tc>
          <w:tcPr>
            <w:tcW w:w="1156"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Final</w:t>
            </w:r>
          </w:p>
        </w:tc>
      </w:tr>
      <w:tr w:rsidR="00085FBF" w:rsidRPr="00085FBF" w:rsidTr="00085FBF">
        <w:trPr>
          <w:trHeight w:val="300"/>
          <w:jc w:val="center"/>
        </w:trPr>
        <w:tc>
          <w:tcPr>
            <w:tcW w:w="1364"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Latitud</w:t>
            </w:r>
          </w:p>
        </w:tc>
        <w:tc>
          <w:tcPr>
            <w:tcW w:w="1080"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14.874883</w:t>
            </w:r>
          </w:p>
        </w:tc>
        <w:tc>
          <w:tcPr>
            <w:tcW w:w="1156"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-92.351349</w:t>
            </w:r>
          </w:p>
        </w:tc>
      </w:tr>
      <w:tr w:rsidR="00085FBF" w:rsidRPr="00085FBF" w:rsidTr="00085FBF">
        <w:trPr>
          <w:trHeight w:val="300"/>
          <w:jc w:val="center"/>
        </w:trPr>
        <w:tc>
          <w:tcPr>
            <w:tcW w:w="1364"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Longitud</w:t>
            </w:r>
          </w:p>
        </w:tc>
        <w:tc>
          <w:tcPr>
            <w:tcW w:w="1080"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14.874632</w:t>
            </w:r>
          </w:p>
        </w:tc>
        <w:tc>
          <w:tcPr>
            <w:tcW w:w="1156"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-92.351458</w:t>
            </w:r>
          </w:p>
        </w:tc>
      </w:tr>
    </w:tbl>
    <w:p w:rsidR="002613A9" w:rsidRDefault="002613A9" w:rsidP="002613A9">
      <w:pPr>
        <w:ind w:left="3686"/>
        <w:rPr>
          <w:rFonts w:eastAsia="Times New Roman" w:cs="Arial"/>
          <w:sz w:val="20"/>
          <w:szCs w:val="16"/>
          <w:lang w:eastAsia="es-MX"/>
        </w:rPr>
      </w:pPr>
      <w:r w:rsidRPr="00AE312B">
        <w:rPr>
          <w:rFonts w:eastAsia="Times New Roman" w:cs="Arial"/>
          <w:sz w:val="20"/>
          <w:szCs w:val="16"/>
          <w:lang w:eastAsia="es-MX"/>
        </w:rPr>
        <w:t>Fuente: Elaboración propia.</w:t>
      </w:r>
    </w:p>
    <w:p w:rsidR="002613A9" w:rsidRDefault="002613A9" w:rsidP="002613A9">
      <w:pPr>
        <w:ind w:left="3686"/>
        <w:rPr>
          <w:rFonts w:eastAsia="Times New Roman" w:cs="Arial"/>
          <w:sz w:val="20"/>
          <w:szCs w:val="16"/>
          <w:lang w:eastAsia="es-MX"/>
        </w:rPr>
      </w:pPr>
    </w:p>
    <w:p w:rsidR="00085FBF" w:rsidRPr="002613A9" w:rsidRDefault="002613A9" w:rsidP="002613A9">
      <w:pPr>
        <w:pStyle w:val="Ttulo3"/>
        <w:ind w:left="-5"/>
        <w:jc w:val="center"/>
        <w:rPr>
          <w:rFonts w:ascii="Calibri" w:hAnsi="Calibri"/>
          <w:color w:val="auto"/>
          <w:sz w:val="20"/>
          <w:szCs w:val="20"/>
        </w:rPr>
      </w:pPr>
      <w:bookmarkStart w:id="92" w:name="_Toc498519531"/>
      <w:r>
        <w:rPr>
          <w:color w:val="auto"/>
          <w:sz w:val="20"/>
          <w:szCs w:val="20"/>
        </w:rPr>
        <w:lastRenderedPageBreak/>
        <w:t>Tabla 25. Coordenadas del Paso Superior Ferroviario.</w:t>
      </w:r>
      <w:bookmarkEnd w:id="92"/>
    </w:p>
    <w:tbl>
      <w:tblPr>
        <w:tblW w:w="4440" w:type="dxa"/>
        <w:jc w:val="center"/>
        <w:tblCellMar>
          <w:left w:w="70" w:type="dxa"/>
          <w:right w:w="70" w:type="dxa"/>
        </w:tblCellMar>
        <w:tblLook w:val="04A0" w:firstRow="1" w:lastRow="0" w:firstColumn="1" w:lastColumn="0" w:noHBand="0" w:noVBand="1"/>
      </w:tblPr>
      <w:tblGrid>
        <w:gridCol w:w="1683"/>
        <w:gridCol w:w="1332"/>
        <w:gridCol w:w="1425"/>
      </w:tblGrid>
      <w:tr w:rsidR="00085FBF" w:rsidRPr="00085FBF" w:rsidTr="00085FBF">
        <w:trPr>
          <w:trHeight w:val="300"/>
          <w:jc w:val="center"/>
        </w:trPr>
        <w:tc>
          <w:tcPr>
            <w:tcW w:w="1683" w:type="dxa"/>
            <w:tcBorders>
              <w:top w:val="nil"/>
              <w:left w:val="single" w:sz="4" w:space="0" w:color="auto"/>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Coordenadas</w:t>
            </w:r>
          </w:p>
        </w:tc>
        <w:tc>
          <w:tcPr>
            <w:tcW w:w="1332"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Inicio</w:t>
            </w:r>
          </w:p>
        </w:tc>
        <w:tc>
          <w:tcPr>
            <w:tcW w:w="1425"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Final</w:t>
            </w:r>
          </w:p>
        </w:tc>
      </w:tr>
      <w:tr w:rsidR="00085FBF" w:rsidRPr="00085FBF" w:rsidTr="00085FBF">
        <w:trPr>
          <w:trHeight w:val="300"/>
          <w:jc w:val="center"/>
        </w:trPr>
        <w:tc>
          <w:tcPr>
            <w:tcW w:w="1683"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Latitud</w:t>
            </w:r>
          </w:p>
        </w:tc>
        <w:tc>
          <w:tcPr>
            <w:tcW w:w="1332"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14.819057</w:t>
            </w:r>
          </w:p>
        </w:tc>
        <w:tc>
          <w:tcPr>
            <w:tcW w:w="1425"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-92.341821</w:t>
            </w:r>
          </w:p>
        </w:tc>
      </w:tr>
      <w:tr w:rsidR="00085FBF" w:rsidRPr="00085FBF" w:rsidTr="00085FBF">
        <w:trPr>
          <w:trHeight w:val="300"/>
          <w:jc w:val="center"/>
        </w:trPr>
        <w:tc>
          <w:tcPr>
            <w:tcW w:w="1683"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Longitud</w:t>
            </w:r>
          </w:p>
        </w:tc>
        <w:tc>
          <w:tcPr>
            <w:tcW w:w="1332"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14.818497</w:t>
            </w:r>
          </w:p>
        </w:tc>
        <w:tc>
          <w:tcPr>
            <w:tcW w:w="1425"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-92.341338</w:t>
            </w:r>
          </w:p>
        </w:tc>
      </w:tr>
    </w:tbl>
    <w:p w:rsidR="00085FBF" w:rsidRDefault="00085FBF" w:rsidP="00933841">
      <w:pPr>
        <w:ind w:left="3686"/>
        <w:rPr>
          <w:rFonts w:ascii="Calibri" w:eastAsia="Times New Roman" w:hAnsi="Calibri" w:cs="Arial"/>
          <w:sz w:val="20"/>
          <w:szCs w:val="16"/>
          <w:lang w:eastAsia="es-MX"/>
        </w:rPr>
      </w:pPr>
    </w:p>
    <w:p w:rsidR="00085FBF" w:rsidRPr="002613A9" w:rsidRDefault="002613A9" w:rsidP="002613A9">
      <w:pPr>
        <w:pStyle w:val="Ttulo3"/>
        <w:ind w:left="-5"/>
        <w:jc w:val="center"/>
        <w:rPr>
          <w:rFonts w:ascii="Calibri" w:hAnsi="Calibri"/>
          <w:color w:val="auto"/>
          <w:sz w:val="20"/>
          <w:szCs w:val="20"/>
        </w:rPr>
      </w:pPr>
      <w:bookmarkStart w:id="93" w:name="_Toc498519532"/>
      <w:r>
        <w:rPr>
          <w:color w:val="auto"/>
          <w:sz w:val="20"/>
          <w:szCs w:val="20"/>
        </w:rPr>
        <w:t>Tabla 26. Coordenadas del Puente río Florido.</w:t>
      </w:r>
      <w:bookmarkEnd w:id="93"/>
    </w:p>
    <w:tbl>
      <w:tblPr>
        <w:tblW w:w="4440" w:type="dxa"/>
        <w:jc w:val="center"/>
        <w:tblCellMar>
          <w:left w:w="70" w:type="dxa"/>
          <w:right w:w="70" w:type="dxa"/>
        </w:tblCellMar>
        <w:tblLook w:val="04A0" w:firstRow="1" w:lastRow="0" w:firstColumn="1" w:lastColumn="0" w:noHBand="0" w:noVBand="1"/>
      </w:tblPr>
      <w:tblGrid>
        <w:gridCol w:w="1683"/>
        <w:gridCol w:w="1332"/>
        <w:gridCol w:w="1425"/>
      </w:tblGrid>
      <w:tr w:rsidR="00085FBF" w:rsidRPr="00085FBF" w:rsidTr="00085FBF">
        <w:trPr>
          <w:trHeight w:val="300"/>
          <w:jc w:val="center"/>
        </w:trPr>
        <w:tc>
          <w:tcPr>
            <w:tcW w:w="1683" w:type="dxa"/>
            <w:tcBorders>
              <w:top w:val="nil"/>
              <w:left w:val="single" w:sz="4" w:space="0" w:color="auto"/>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Coordenadas</w:t>
            </w:r>
          </w:p>
        </w:tc>
        <w:tc>
          <w:tcPr>
            <w:tcW w:w="1332"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Inicio</w:t>
            </w:r>
          </w:p>
        </w:tc>
        <w:tc>
          <w:tcPr>
            <w:tcW w:w="1425" w:type="dxa"/>
            <w:tcBorders>
              <w:top w:val="nil"/>
              <w:left w:val="nil"/>
              <w:bottom w:val="single" w:sz="4" w:space="0" w:color="auto"/>
              <w:right w:val="single" w:sz="4" w:space="0" w:color="auto"/>
            </w:tcBorders>
            <w:shd w:val="clear" w:color="000000" w:fill="C00000"/>
            <w:noWrap/>
            <w:vAlign w:val="center"/>
            <w:hideMark/>
          </w:tcPr>
          <w:p w:rsidR="00085FBF" w:rsidRPr="00085FBF" w:rsidRDefault="00085FBF" w:rsidP="00085FBF">
            <w:pPr>
              <w:spacing w:after="0" w:line="240" w:lineRule="auto"/>
              <w:jc w:val="center"/>
              <w:rPr>
                <w:rFonts w:ascii="Calibri" w:eastAsia="Times New Roman" w:hAnsi="Calibri" w:cs="Calibri"/>
                <w:b/>
                <w:bCs/>
                <w:color w:val="FFFFFF"/>
                <w:sz w:val="18"/>
                <w:szCs w:val="18"/>
                <w:lang w:eastAsia="es-MX"/>
              </w:rPr>
            </w:pPr>
            <w:r w:rsidRPr="00085FBF">
              <w:rPr>
                <w:rFonts w:ascii="Calibri" w:eastAsia="Times New Roman" w:hAnsi="Calibri" w:cs="Calibri"/>
                <w:b/>
                <w:bCs/>
                <w:color w:val="FFFFFF"/>
                <w:sz w:val="18"/>
                <w:szCs w:val="18"/>
                <w:lang w:eastAsia="es-MX"/>
              </w:rPr>
              <w:t>Final</w:t>
            </w:r>
          </w:p>
        </w:tc>
      </w:tr>
      <w:tr w:rsidR="00085FBF" w:rsidRPr="00085FBF" w:rsidTr="00085FBF">
        <w:trPr>
          <w:trHeight w:val="300"/>
          <w:jc w:val="center"/>
        </w:trPr>
        <w:tc>
          <w:tcPr>
            <w:tcW w:w="1683"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Latitud</w:t>
            </w:r>
          </w:p>
        </w:tc>
        <w:tc>
          <w:tcPr>
            <w:tcW w:w="1332"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14.844827</w:t>
            </w:r>
          </w:p>
        </w:tc>
        <w:tc>
          <w:tcPr>
            <w:tcW w:w="1425"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-92.350873</w:t>
            </w:r>
          </w:p>
        </w:tc>
      </w:tr>
      <w:tr w:rsidR="00085FBF" w:rsidRPr="00085FBF" w:rsidTr="00085FBF">
        <w:trPr>
          <w:trHeight w:val="300"/>
          <w:jc w:val="center"/>
        </w:trPr>
        <w:tc>
          <w:tcPr>
            <w:tcW w:w="1683" w:type="dxa"/>
            <w:tcBorders>
              <w:top w:val="nil"/>
              <w:left w:val="single" w:sz="4" w:space="0" w:color="auto"/>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Longitud</w:t>
            </w:r>
          </w:p>
        </w:tc>
        <w:tc>
          <w:tcPr>
            <w:tcW w:w="1332"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14.844636</w:t>
            </w:r>
          </w:p>
        </w:tc>
        <w:tc>
          <w:tcPr>
            <w:tcW w:w="1425" w:type="dxa"/>
            <w:tcBorders>
              <w:top w:val="nil"/>
              <w:left w:val="nil"/>
              <w:bottom w:val="single" w:sz="4" w:space="0" w:color="auto"/>
              <w:right w:val="single" w:sz="4" w:space="0" w:color="auto"/>
            </w:tcBorders>
            <w:shd w:val="clear" w:color="000000" w:fill="FFFFFF"/>
            <w:noWrap/>
            <w:vAlign w:val="center"/>
            <w:hideMark/>
          </w:tcPr>
          <w:p w:rsidR="00085FBF" w:rsidRPr="00085FBF" w:rsidRDefault="00085FBF" w:rsidP="00085FBF">
            <w:pPr>
              <w:spacing w:after="0" w:line="240" w:lineRule="auto"/>
              <w:jc w:val="center"/>
              <w:rPr>
                <w:rFonts w:ascii="Calibri" w:eastAsia="Times New Roman" w:hAnsi="Calibri" w:cs="Calibri"/>
                <w:color w:val="000000"/>
                <w:sz w:val="18"/>
                <w:szCs w:val="18"/>
                <w:lang w:eastAsia="es-MX"/>
              </w:rPr>
            </w:pPr>
            <w:r w:rsidRPr="00085FBF">
              <w:rPr>
                <w:rFonts w:ascii="Calibri" w:eastAsia="Times New Roman" w:hAnsi="Calibri" w:cs="Calibri"/>
                <w:color w:val="000000"/>
                <w:sz w:val="18"/>
                <w:szCs w:val="18"/>
                <w:lang w:eastAsia="es-MX"/>
              </w:rPr>
              <w:t>-92.350849</w:t>
            </w:r>
          </w:p>
        </w:tc>
      </w:tr>
    </w:tbl>
    <w:p w:rsidR="00933841" w:rsidRDefault="00933841" w:rsidP="005B3976">
      <w:pPr>
        <w:jc w:val="both"/>
        <w:rPr>
          <w:szCs w:val="24"/>
        </w:rPr>
      </w:pPr>
    </w:p>
    <w:p w:rsidR="005B3976" w:rsidRDefault="0058128C" w:rsidP="00933841">
      <w:pPr>
        <w:pStyle w:val="Ttulo3"/>
        <w:ind w:left="-5"/>
        <w:jc w:val="center"/>
        <w:rPr>
          <w:rFonts w:eastAsia="Times New Roman" w:cs="Times New Roman"/>
          <w:color w:val="auto"/>
          <w:sz w:val="20"/>
          <w:szCs w:val="20"/>
        </w:rPr>
      </w:pPr>
      <w:bookmarkStart w:id="94" w:name="_Toc454708623"/>
      <w:bookmarkStart w:id="95" w:name="_Toc498519533"/>
      <w:r>
        <w:rPr>
          <w:color w:val="auto"/>
          <w:sz w:val="20"/>
          <w:szCs w:val="20"/>
        </w:rPr>
        <w:t xml:space="preserve">Imagen </w:t>
      </w:r>
      <w:r w:rsidR="00355BD7">
        <w:rPr>
          <w:color w:val="auto"/>
          <w:sz w:val="20"/>
          <w:szCs w:val="20"/>
        </w:rPr>
        <w:t>1</w:t>
      </w:r>
      <w:r w:rsidR="005B3976">
        <w:rPr>
          <w:color w:val="auto"/>
          <w:sz w:val="20"/>
          <w:szCs w:val="20"/>
        </w:rPr>
        <w:t>. Localización del tramo de estudio y del proyecto.</w:t>
      </w:r>
      <w:bookmarkEnd w:id="94"/>
      <w:bookmarkEnd w:id="95"/>
    </w:p>
    <w:p w:rsidR="00933841" w:rsidRDefault="005C0C7A" w:rsidP="005C0C7A">
      <w:pPr>
        <w:spacing w:after="0"/>
        <w:jc w:val="both"/>
        <w:rPr>
          <w:rFonts w:cstheme="minorHAnsi"/>
          <w:color w:val="808080"/>
          <w:szCs w:val="28"/>
        </w:rPr>
      </w:pPr>
      <w:r>
        <w:rPr>
          <w:rFonts w:cstheme="minorHAnsi"/>
          <w:noProof/>
          <w:color w:val="808080"/>
          <w:szCs w:val="28"/>
          <w:lang w:eastAsia="es-MX"/>
        </w:rPr>
        <w:drawing>
          <wp:inline distT="0" distB="0" distL="0" distR="0">
            <wp:extent cx="5610225" cy="540067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5400675"/>
                    </a:xfrm>
                    <a:prstGeom prst="rect">
                      <a:avLst/>
                    </a:prstGeom>
                    <a:noFill/>
                    <a:ln>
                      <a:solidFill>
                        <a:schemeClr val="tx1"/>
                      </a:solidFill>
                    </a:ln>
                  </pic:spPr>
                </pic:pic>
              </a:graphicData>
            </a:graphic>
          </wp:inline>
        </w:drawing>
      </w:r>
    </w:p>
    <w:p w:rsidR="007D485F" w:rsidRPr="005E651A" w:rsidRDefault="005C0C7A" w:rsidP="005E651A">
      <w:pPr>
        <w:ind w:right="-376"/>
        <w:jc w:val="center"/>
        <w:rPr>
          <w:sz w:val="18"/>
          <w:szCs w:val="18"/>
          <w:lang w:eastAsia="en-AU"/>
        </w:rPr>
      </w:pPr>
      <w:r w:rsidRPr="006467A4">
        <w:rPr>
          <w:sz w:val="18"/>
          <w:szCs w:val="18"/>
          <w:lang w:eastAsia="en-AU"/>
        </w:rPr>
        <w:t>Fuente: Elaboración propia con datos de Ferrocarril del Ist</w:t>
      </w:r>
      <w:r>
        <w:rPr>
          <w:sz w:val="18"/>
          <w:szCs w:val="18"/>
          <w:lang w:eastAsia="en-AU"/>
        </w:rPr>
        <w:t>mo de Tehuantepec, S.A. de C.V.</w:t>
      </w:r>
      <w:bookmarkStart w:id="96" w:name="_Toc267575843"/>
    </w:p>
    <w:p w:rsidR="0058128C" w:rsidRDefault="0058128C" w:rsidP="0058128C">
      <w:pPr>
        <w:pStyle w:val="Ttulo2"/>
        <w:rPr>
          <w:rFonts w:asciiTheme="minorHAnsi" w:hAnsiTheme="minorHAnsi" w:cstheme="minorHAnsi"/>
          <w:b/>
          <w:color w:val="auto"/>
          <w:sz w:val="22"/>
        </w:rPr>
      </w:pPr>
      <w:bookmarkStart w:id="97" w:name="_Toc454708701"/>
      <w:bookmarkStart w:id="98" w:name="_Toc498519534"/>
      <w:r w:rsidRPr="0058128C">
        <w:rPr>
          <w:rFonts w:asciiTheme="minorHAnsi" w:hAnsiTheme="minorHAnsi" w:cstheme="minorHAnsi"/>
          <w:b/>
          <w:color w:val="auto"/>
          <w:sz w:val="22"/>
        </w:rPr>
        <w:lastRenderedPageBreak/>
        <w:t>i) Fotografías.</w:t>
      </w:r>
      <w:bookmarkEnd w:id="98"/>
    </w:p>
    <w:p w:rsidR="0058128C" w:rsidRDefault="0058128C" w:rsidP="0058128C">
      <w:r>
        <w:t>El trazo antes del libramiento entraba a la ciudad de Tapachula, lo cual era un problema con los habitantes que tienen sus viviendas cerca de la vía; la basura que se dejaba era uno de los mayores problemas, pues estropean el paso del ferrocarril.</w:t>
      </w:r>
    </w:p>
    <w:p w:rsidR="0058128C" w:rsidRPr="0058128C" w:rsidRDefault="0058128C" w:rsidP="0058128C">
      <w:pPr>
        <w:pStyle w:val="Ttulo3"/>
        <w:ind w:left="-5"/>
        <w:jc w:val="center"/>
        <w:rPr>
          <w:rFonts w:eastAsia="Times New Roman" w:cs="Times New Roman"/>
          <w:color w:val="auto"/>
          <w:sz w:val="20"/>
          <w:szCs w:val="20"/>
        </w:rPr>
      </w:pPr>
      <w:bookmarkStart w:id="99" w:name="_Toc498519535"/>
      <w:r>
        <w:rPr>
          <w:color w:val="auto"/>
          <w:sz w:val="20"/>
          <w:szCs w:val="20"/>
        </w:rPr>
        <w:t>Imagen 2.</w:t>
      </w:r>
      <w:r w:rsidR="009D0A01">
        <w:rPr>
          <w:color w:val="auto"/>
          <w:sz w:val="20"/>
          <w:szCs w:val="20"/>
        </w:rPr>
        <w:t xml:space="preserve"> </w:t>
      </w:r>
      <w:r>
        <w:rPr>
          <w:color w:val="auto"/>
          <w:sz w:val="20"/>
          <w:szCs w:val="20"/>
        </w:rPr>
        <w:t>Vía con basura en Tapachula.</w:t>
      </w:r>
      <w:bookmarkEnd w:id="99"/>
    </w:p>
    <w:p w:rsidR="0058128C" w:rsidRDefault="0058128C" w:rsidP="0058128C">
      <w:pPr>
        <w:spacing w:after="0"/>
        <w:jc w:val="center"/>
      </w:pPr>
      <w:r w:rsidRPr="00D86357">
        <w:rPr>
          <w:rFonts w:ascii="Arial" w:hAnsi="Arial" w:cs="Arial"/>
          <w:noProof/>
          <w:lang w:eastAsia="es-MX"/>
        </w:rPr>
        <w:drawing>
          <wp:inline distT="0" distB="0" distL="0" distR="0">
            <wp:extent cx="3600000" cy="2058114"/>
            <wp:effectExtent l="19050" t="19050" r="19685" b="18415"/>
            <wp:docPr id="1" name="Imagen 1" descr="C:\Users\GES CONSULTORES SC\Desktop\Proyecto Ferroviario Tapachula\Libramiento FIT\REPORTE FOTOGRAFICO\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GES CONSULTORES SC\Desktop\Proyecto Ferroviario Tapachula\Libramiento FIT\REPORTE FOTOGRAFICO\P1010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058114"/>
                    </a:xfrm>
                    <a:prstGeom prst="rect">
                      <a:avLst/>
                    </a:prstGeom>
                    <a:noFill/>
                    <a:ln>
                      <a:solidFill>
                        <a:schemeClr val="tx1"/>
                      </a:solidFill>
                    </a:ln>
                  </pic:spPr>
                </pic:pic>
              </a:graphicData>
            </a:graphic>
          </wp:inline>
        </w:drawing>
      </w:r>
    </w:p>
    <w:p w:rsidR="0058128C" w:rsidRPr="005E651A" w:rsidRDefault="0058128C" w:rsidP="0058128C">
      <w:pPr>
        <w:ind w:right="-376"/>
        <w:jc w:val="center"/>
        <w:rPr>
          <w:sz w:val="18"/>
          <w:szCs w:val="18"/>
          <w:lang w:eastAsia="en-AU"/>
        </w:rPr>
      </w:pPr>
      <w:r w:rsidRPr="006467A4">
        <w:rPr>
          <w:sz w:val="18"/>
          <w:szCs w:val="18"/>
          <w:lang w:eastAsia="en-AU"/>
        </w:rPr>
        <w:t>Fuente: Elaboración propia con datos de Ferrocarril del Ist</w:t>
      </w:r>
      <w:r>
        <w:rPr>
          <w:sz w:val="18"/>
          <w:szCs w:val="18"/>
          <w:lang w:eastAsia="en-AU"/>
        </w:rPr>
        <w:t>mo de Tehuantepec, S.A. de C.V.</w:t>
      </w:r>
    </w:p>
    <w:p w:rsidR="0058128C" w:rsidRDefault="0058128C" w:rsidP="0058128C">
      <w:r>
        <w:t>Actualmente solo se lidia con  la vegetación de Chiapas que es muy abundante.</w:t>
      </w:r>
    </w:p>
    <w:p w:rsidR="0058128C" w:rsidRPr="0058128C" w:rsidRDefault="009D0A01" w:rsidP="0058128C">
      <w:pPr>
        <w:pStyle w:val="Ttulo3"/>
        <w:ind w:left="-5"/>
        <w:jc w:val="center"/>
        <w:rPr>
          <w:rFonts w:eastAsia="Times New Roman" w:cs="Times New Roman"/>
          <w:color w:val="auto"/>
          <w:sz w:val="20"/>
          <w:szCs w:val="20"/>
        </w:rPr>
      </w:pPr>
      <w:bookmarkStart w:id="100" w:name="_Toc498519536"/>
      <w:r>
        <w:rPr>
          <w:color w:val="auto"/>
          <w:sz w:val="20"/>
          <w:szCs w:val="20"/>
        </w:rPr>
        <w:t>Imagen 3</w:t>
      </w:r>
      <w:r w:rsidR="0058128C">
        <w:rPr>
          <w:color w:val="auto"/>
          <w:sz w:val="20"/>
          <w:szCs w:val="20"/>
        </w:rPr>
        <w:t>.</w:t>
      </w:r>
      <w:r>
        <w:rPr>
          <w:color w:val="auto"/>
          <w:sz w:val="20"/>
          <w:szCs w:val="20"/>
        </w:rPr>
        <w:t xml:space="preserve"> </w:t>
      </w:r>
      <w:r w:rsidR="0058128C">
        <w:rPr>
          <w:color w:val="auto"/>
          <w:sz w:val="20"/>
          <w:szCs w:val="20"/>
        </w:rPr>
        <w:t>Inicio del Libramiento ferroviario de Tapachula.</w:t>
      </w:r>
      <w:bookmarkEnd w:id="100"/>
    </w:p>
    <w:p w:rsidR="0058128C" w:rsidRDefault="0058128C" w:rsidP="0058128C">
      <w:pPr>
        <w:spacing w:after="0"/>
        <w:jc w:val="center"/>
      </w:pPr>
      <w:r>
        <w:rPr>
          <w:noProof/>
          <w:lang w:eastAsia="es-MX"/>
        </w:rPr>
        <w:drawing>
          <wp:inline distT="0" distB="0" distL="0" distR="0">
            <wp:extent cx="3600000" cy="2700000"/>
            <wp:effectExtent l="19050" t="19050" r="19685" b="24765"/>
            <wp:docPr id="3" name="Imagen 3" descr="https://scontent-lax3-1.xx.fbcdn.net/v/t34.0-12/23476919_1889631331050262_1827705903_n.jpg?oh=7e5f04e2cbadf161a4ff67d7eddcb55f&amp;oe=5A0E3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3-1.xx.fbcdn.net/v/t34.0-12/23476919_1889631331050262_1827705903_n.jpg?oh=7e5f04e2cbadf161a4ff67d7eddcb55f&amp;oe=5A0E3EC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solidFill>
                        <a:schemeClr val="tx1"/>
                      </a:solidFill>
                    </a:ln>
                  </pic:spPr>
                </pic:pic>
              </a:graphicData>
            </a:graphic>
          </wp:inline>
        </w:drawing>
      </w:r>
    </w:p>
    <w:p w:rsidR="0058128C" w:rsidRDefault="0058128C" w:rsidP="0058128C">
      <w:pPr>
        <w:ind w:right="-376"/>
        <w:jc w:val="center"/>
        <w:rPr>
          <w:sz w:val="18"/>
          <w:szCs w:val="18"/>
          <w:lang w:eastAsia="en-AU"/>
        </w:rPr>
      </w:pPr>
      <w:r w:rsidRPr="006467A4">
        <w:rPr>
          <w:sz w:val="18"/>
          <w:szCs w:val="18"/>
          <w:lang w:eastAsia="en-AU"/>
        </w:rPr>
        <w:t>Fuente: Elaboración propia con datos de Ferrocarril del Ist</w:t>
      </w:r>
      <w:r>
        <w:rPr>
          <w:sz w:val="18"/>
          <w:szCs w:val="18"/>
          <w:lang w:eastAsia="en-AU"/>
        </w:rPr>
        <w:t>mo de Tehuantepec, S.A. de C.V.</w:t>
      </w:r>
    </w:p>
    <w:p w:rsidR="009D0A01" w:rsidRDefault="009D0A01" w:rsidP="0058128C">
      <w:pPr>
        <w:ind w:right="-376"/>
        <w:jc w:val="center"/>
        <w:rPr>
          <w:sz w:val="18"/>
          <w:szCs w:val="18"/>
          <w:lang w:eastAsia="en-AU"/>
        </w:rPr>
      </w:pPr>
    </w:p>
    <w:p w:rsidR="009D0A01" w:rsidRDefault="009D0A01" w:rsidP="0058128C">
      <w:pPr>
        <w:ind w:right="-376"/>
        <w:jc w:val="center"/>
        <w:rPr>
          <w:sz w:val="18"/>
          <w:szCs w:val="18"/>
          <w:lang w:eastAsia="en-AU"/>
        </w:rPr>
      </w:pPr>
    </w:p>
    <w:p w:rsidR="009D0A01" w:rsidRDefault="009D0A01" w:rsidP="0058128C">
      <w:pPr>
        <w:ind w:right="-376"/>
        <w:jc w:val="center"/>
        <w:rPr>
          <w:sz w:val="18"/>
          <w:szCs w:val="18"/>
          <w:lang w:eastAsia="en-AU"/>
        </w:rPr>
      </w:pPr>
    </w:p>
    <w:p w:rsidR="009D0A01" w:rsidRDefault="009D0A01" w:rsidP="0058128C">
      <w:pPr>
        <w:ind w:right="-376"/>
        <w:jc w:val="center"/>
        <w:rPr>
          <w:sz w:val="18"/>
          <w:szCs w:val="18"/>
          <w:lang w:eastAsia="en-AU"/>
        </w:rPr>
      </w:pPr>
    </w:p>
    <w:p w:rsidR="009D0A01" w:rsidRDefault="009D0A01" w:rsidP="0058128C">
      <w:pPr>
        <w:ind w:right="-376"/>
        <w:jc w:val="center"/>
        <w:rPr>
          <w:sz w:val="18"/>
          <w:szCs w:val="18"/>
          <w:lang w:eastAsia="en-AU"/>
        </w:rPr>
      </w:pPr>
    </w:p>
    <w:p w:rsidR="009D0A01" w:rsidRDefault="009D0A01" w:rsidP="0058128C">
      <w:pPr>
        <w:ind w:right="-376"/>
        <w:jc w:val="center"/>
        <w:rPr>
          <w:sz w:val="18"/>
          <w:szCs w:val="18"/>
          <w:lang w:eastAsia="en-AU"/>
        </w:rPr>
      </w:pPr>
    </w:p>
    <w:p w:rsidR="009D0A01" w:rsidRPr="009D0A01" w:rsidRDefault="009D0A01" w:rsidP="009D0A01">
      <w:pPr>
        <w:pStyle w:val="Ttulo3"/>
        <w:ind w:left="-5"/>
        <w:jc w:val="center"/>
        <w:rPr>
          <w:rFonts w:eastAsia="Times New Roman" w:cs="Times New Roman"/>
          <w:color w:val="auto"/>
          <w:sz w:val="20"/>
          <w:szCs w:val="20"/>
        </w:rPr>
      </w:pPr>
      <w:bookmarkStart w:id="101" w:name="_Toc498519537"/>
      <w:r>
        <w:rPr>
          <w:color w:val="auto"/>
          <w:sz w:val="20"/>
          <w:szCs w:val="20"/>
        </w:rPr>
        <w:lastRenderedPageBreak/>
        <w:t>Imagen 4. Vegetación en el  Libramiento ferroviario de Tapachula.</w:t>
      </w:r>
      <w:bookmarkEnd w:id="101"/>
    </w:p>
    <w:p w:rsidR="0058128C" w:rsidRDefault="009D0A01" w:rsidP="009D0A01">
      <w:pPr>
        <w:spacing w:after="0"/>
        <w:jc w:val="center"/>
      </w:pPr>
      <w:r>
        <w:rPr>
          <w:noProof/>
          <w:lang w:eastAsia="es-MX"/>
        </w:rPr>
        <w:drawing>
          <wp:inline distT="0" distB="0" distL="0" distR="0">
            <wp:extent cx="3599815" cy="3399578"/>
            <wp:effectExtent l="19050" t="19050" r="19685" b="10795"/>
            <wp:docPr id="8" name="Imagen 8" descr="https://scontent-lax3-1.xx.fbcdn.net/v/t34.0-12/23439569_1889631011050294_737689652_n.jpg?oh=5c8395e8c736a14fcbb2d49441661062&amp;oe=5A0E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ax3-1.xx.fbcdn.net/v/t34.0-12/23439569_1889631011050294_737689652_n.jpg?oh=5c8395e8c736a14fcbb2d49441661062&amp;oe=5A0E8D30"/>
                    <pic:cNvPicPr>
                      <a:picLocks noChangeAspect="1" noChangeArrowheads="1"/>
                    </pic:cNvPicPr>
                  </pic:nvPicPr>
                  <pic:blipFill rotWithShape="1">
                    <a:blip r:embed="rId24">
                      <a:extLst>
                        <a:ext uri="{28A0092B-C50C-407E-A947-70E740481C1C}">
                          <a14:useLocalDpi xmlns:a14="http://schemas.microsoft.com/office/drawing/2010/main" val="0"/>
                        </a:ext>
                      </a:extLst>
                    </a:blip>
                    <a:srcRect t="29172"/>
                    <a:stretch/>
                  </pic:blipFill>
                  <pic:spPr bwMode="auto">
                    <a:xfrm>
                      <a:off x="0" y="0"/>
                      <a:ext cx="3600000" cy="33997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D0A01" w:rsidRDefault="009D0A01" w:rsidP="009D0A01">
      <w:pPr>
        <w:ind w:right="-376"/>
        <w:jc w:val="center"/>
        <w:rPr>
          <w:sz w:val="18"/>
          <w:szCs w:val="18"/>
          <w:lang w:eastAsia="en-AU"/>
        </w:rPr>
      </w:pPr>
      <w:r w:rsidRPr="006467A4">
        <w:rPr>
          <w:sz w:val="18"/>
          <w:szCs w:val="18"/>
          <w:lang w:eastAsia="en-AU"/>
        </w:rPr>
        <w:t>Fuente: Elaboración propia con datos de Ferrocarril del Ist</w:t>
      </w:r>
      <w:r>
        <w:rPr>
          <w:sz w:val="18"/>
          <w:szCs w:val="18"/>
          <w:lang w:eastAsia="en-AU"/>
        </w:rPr>
        <w:t>mo de Tehuantepec, S.A. de C.V.</w:t>
      </w:r>
    </w:p>
    <w:p w:rsidR="009D0A01" w:rsidRDefault="009D0A01" w:rsidP="009D0A01">
      <w:r>
        <w:t>Los 3 puentes y el paso a desnivel están en perfectas condiciones a pesar de no llegar aun a los 5 años para su mantenimiento.</w:t>
      </w:r>
    </w:p>
    <w:p w:rsidR="009D0A01" w:rsidRPr="009D0A01" w:rsidRDefault="009D0A01" w:rsidP="009D0A01">
      <w:pPr>
        <w:pStyle w:val="Ttulo3"/>
        <w:ind w:left="-5"/>
        <w:jc w:val="center"/>
        <w:rPr>
          <w:rFonts w:eastAsia="Times New Roman" w:cs="Times New Roman"/>
          <w:color w:val="auto"/>
          <w:sz w:val="20"/>
          <w:szCs w:val="20"/>
        </w:rPr>
      </w:pPr>
      <w:bookmarkStart w:id="102" w:name="_Toc498519538"/>
      <w:r>
        <w:rPr>
          <w:color w:val="auto"/>
          <w:sz w:val="20"/>
          <w:szCs w:val="20"/>
        </w:rPr>
        <w:t>Imagen 5. Paso Superior Ferroviario.</w:t>
      </w:r>
      <w:bookmarkEnd w:id="102"/>
    </w:p>
    <w:p w:rsidR="009D0A01" w:rsidRDefault="009D0A01" w:rsidP="009D0A01">
      <w:pPr>
        <w:spacing w:after="0"/>
        <w:jc w:val="center"/>
      </w:pPr>
      <w:r>
        <w:rPr>
          <w:noProof/>
          <w:lang w:eastAsia="es-MX"/>
        </w:rPr>
        <w:drawing>
          <wp:inline distT="0" distB="0" distL="0" distR="0">
            <wp:extent cx="3599815" cy="2305050"/>
            <wp:effectExtent l="19050" t="19050" r="19685" b="19050"/>
            <wp:docPr id="10" name="Imagen 10" descr="https://scontent-lax3-1.xx.fbcdn.net/v/t34.0-12/23515969_1919916911661614_925758942_n.jpg?oh=7147d89d1250a98e5fafa7808c3dc063&amp;oe=5A0E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ax3-1.xx.fbcdn.net/v/t34.0-12/23515969_1919916911661614_925758942_n.jpg?oh=7147d89d1250a98e5fafa7808c3dc063&amp;oe=5A0E4880"/>
                    <pic:cNvPicPr>
                      <a:picLocks noChangeAspect="1" noChangeArrowheads="1"/>
                    </pic:cNvPicPr>
                  </pic:nvPicPr>
                  <pic:blipFill rotWithShape="1">
                    <a:blip r:embed="rId25">
                      <a:extLst>
                        <a:ext uri="{28A0092B-C50C-407E-A947-70E740481C1C}">
                          <a14:useLocalDpi xmlns:a14="http://schemas.microsoft.com/office/drawing/2010/main" val="0"/>
                        </a:ext>
                      </a:extLst>
                    </a:blip>
                    <a:srcRect t="27981" b="23995"/>
                    <a:stretch/>
                  </pic:blipFill>
                  <pic:spPr bwMode="auto">
                    <a:xfrm>
                      <a:off x="0" y="0"/>
                      <a:ext cx="3600000" cy="23051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D0A01" w:rsidRDefault="009D0A01" w:rsidP="009D0A01">
      <w:pPr>
        <w:ind w:right="-376"/>
        <w:jc w:val="center"/>
        <w:rPr>
          <w:sz w:val="18"/>
          <w:szCs w:val="18"/>
          <w:lang w:eastAsia="en-AU"/>
        </w:rPr>
      </w:pPr>
      <w:r w:rsidRPr="006467A4">
        <w:rPr>
          <w:sz w:val="18"/>
          <w:szCs w:val="18"/>
          <w:lang w:eastAsia="en-AU"/>
        </w:rPr>
        <w:t>Fuente: Elaboración propia con datos de Ferrocarril del Ist</w:t>
      </w:r>
      <w:r>
        <w:rPr>
          <w:sz w:val="18"/>
          <w:szCs w:val="18"/>
          <w:lang w:eastAsia="en-AU"/>
        </w:rPr>
        <w:t>mo de Tehuantepec, S.A. de C.V.</w:t>
      </w:r>
    </w:p>
    <w:p w:rsidR="009D0A01" w:rsidRDefault="009D0A01" w:rsidP="009D0A01">
      <w:pPr>
        <w:ind w:right="-376"/>
        <w:jc w:val="center"/>
        <w:rPr>
          <w:sz w:val="18"/>
          <w:szCs w:val="18"/>
          <w:lang w:eastAsia="en-AU"/>
        </w:rPr>
      </w:pPr>
    </w:p>
    <w:p w:rsidR="009D0A01" w:rsidRDefault="009D0A01" w:rsidP="009D0A01">
      <w:pPr>
        <w:ind w:right="-376"/>
        <w:jc w:val="center"/>
        <w:rPr>
          <w:sz w:val="18"/>
          <w:szCs w:val="18"/>
          <w:lang w:eastAsia="en-AU"/>
        </w:rPr>
      </w:pPr>
    </w:p>
    <w:p w:rsidR="009D0A01" w:rsidRDefault="009D0A01" w:rsidP="009D0A01">
      <w:pPr>
        <w:ind w:right="-376"/>
        <w:jc w:val="center"/>
        <w:rPr>
          <w:sz w:val="18"/>
          <w:szCs w:val="18"/>
          <w:lang w:eastAsia="en-AU"/>
        </w:rPr>
      </w:pPr>
    </w:p>
    <w:p w:rsidR="009D0A01" w:rsidRDefault="009D0A01" w:rsidP="009D0A01">
      <w:pPr>
        <w:ind w:right="-376"/>
        <w:jc w:val="center"/>
        <w:rPr>
          <w:sz w:val="18"/>
          <w:szCs w:val="18"/>
          <w:lang w:eastAsia="en-AU"/>
        </w:rPr>
      </w:pPr>
    </w:p>
    <w:p w:rsidR="009D0A01" w:rsidRDefault="009D0A01" w:rsidP="009D0A01">
      <w:pPr>
        <w:ind w:right="-376"/>
        <w:jc w:val="center"/>
        <w:rPr>
          <w:sz w:val="18"/>
          <w:szCs w:val="18"/>
          <w:lang w:eastAsia="en-AU"/>
        </w:rPr>
      </w:pPr>
    </w:p>
    <w:p w:rsidR="009D0A01" w:rsidRPr="009D0A01" w:rsidRDefault="009D0A01" w:rsidP="009D0A01">
      <w:pPr>
        <w:pStyle w:val="Ttulo3"/>
        <w:ind w:left="-5"/>
        <w:jc w:val="center"/>
        <w:rPr>
          <w:rFonts w:eastAsia="Times New Roman" w:cs="Times New Roman"/>
          <w:color w:val="auto"/>
          <w:sz w:val="20"/>
          <w:szCs w:val="20"/>
        </w:rPr>
      </w:pPr>
      <w:bookmarkStart w:id="103" w:name="_Toc498519539"/>
      <w:r>
        <w:rPr>
          <w:color w:val="auto"/>
          <w:sz w:val="20"/>
          <w:szCs w:val="20"/>
        </w:rPr>
        <w:lastRenderedPageBreak/>
        <w:t>Imagen 5. Condiciones Paso Superior Ferroviario.</w:t>
      </w:r>
      <w:bookmarkEnd w:id="103"/>
    </w:p>
    <w:p w:rsidR="009D0A01" w:rsidRDefault="009D0A01" w:rsidP="009D0A01">
      <w:pPr>
        <w:spacing w:after="0"/>
        <w:jc w:val="center"/>
      </w:pPr>
      <w:r>
        <w:rPr>
          <w:noProof/>
          <w:lang w:eastAsia="es-MX"/>
        </w:rPr>
        <w:drawing>
          <wp:inline distT="0" distB="0" distL="0" distR="0">
            <wp:extent cx="3600000" cy="4800000"/>
            <wp:effectExtent l="19050" t="19050" r="19685" b="19685"/>
            <wp:docPr id="12" name="Imagen 12" descr="https://scontent-lax3-1.xx.fbcdn.net/v/t34.0-12/23513122_1919916941661611_651035825_n.jpg?oh=8b11f3e652d24ef80c0931b83e201613&amp;oe=5A0F5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ax3-1.xx.fbcdn.net/v/t34.0-12/23513122_1919916941661611_651035825_n.jpg?oh=8b11f3e652d24ef80c0931b83e201613&amp;oe=5A0F556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4800000"/>
                    </a:xfrm>
                    <a:prstGeom prst="rect">
                      <a:avLst/>
                    </a:prstGeom>
                    <a:noFill/>
                    <a:ln>
                      <a:solidFill>
                        <a:schemeClr val="tx1"/>
                      </a:solidFill>
                    </a:ln>
                  </pic:spPr>
                </pic:pic>
              </a:graphicData>
            </a:graphic>
          </wp:inline>
        </w:drawing>
      </w:r>
    </w:p>
    <w:p w:rsidR="009D0A01" w:rsidRDefault="009D0A01" w:rsidP="009D0A01">
      <w:pPr>
        <w:ind w:right="-376"/>
        <w:jc w:val="center"/>
        <w:rPr>
          <w:sz w:val="18"/>
          <w:szCs w:val="18"/>
          <w:lang w:eastAsia="en-AU"/>
        </w:rPr>
      </w:pPr>
      <w:r w:rsidRPr="006467A4">
        <w:rPr>
          <w:sz w:val="18"/>
          <w:szCs w:val="18"/>
          <w:lang w:eastAsia="en-AU"/>
        </w:rPr>
        <w:t>Fuente: Elaboración propia con datos de Ferrocarril del Ist</w:t>
      </w:r>
      <w:r>
        <w:rPr>
          <w:sz w:val="18"/>
          <w:szCs w:val="18"/>
          <w:lang w:eastAsia="en-AU"/>
        </w:rPr>
        <w:t>mo de Tehuantepec, S.A. de C.V.</w:t>
      </w:r>
    </w:p>
    <w:p w:rsidR="009D0A01" w:rsidRDefault="009D0A01" w:rsidP="0058128C">
      <w:pPr>
        <w:jc w:val="center"/>
      </w:pPr>
    </w:p>
    <w:p w:rsidR="009D0A01" w:rsidRDefault="009D0A01" w:rsidP="0058128C">
      <w:pPr>
        <w:jc w:val="center"/>
      </w:pPr>
    </w:p>
    <w:p w:rsidR="009D0A01" w:rsidRDefault="009D0A01" w:rsidP="0058128C">
      <w:pPr>
        <w:jc w:val="center"/>
      </w:pPr>
    </w:p>
    <w:p w:rsidR="009D0A01" w:rsidRDefault="009D0A01" w:rsidP="0058128C">
      <w:pPr>
        <w:jc w:val="center"/>
      </w:pPr>
    </w:p>
    <w:p w:rsidR="009D0A01" w:rsidRDefault="009D0A01" w:rsidP="0058128C">
      <w:pPr>
        <w:jc w:val="center"/>
      </w:pPr>
    </w:p>
    <w:p w:rsidR="009D0A01" w:rsidRDefault="009D0A01" w:rsidP="0058128C">
      <w:pPr>
        <w:jc w:val="center"/>
      </w:pPr>
    </w:p>
    <w:p w:rsidR="009D0A01" w:rsidRDefault="009D0A01" w:rsidP="0058128C">
      <w:pPr>
        <w:jc w:val="center"/>
      </w:pPr>
    </w:p>
    <w:p w:rsidR="009D0A01" w:rsidRDefault="009D0A01" w:rsidP="0058128C">
      <w:pPr>
        <w:jc w:val="center"/>
      </w:pPr>
    </w:p>
    <w:p w:rsidR="009D0A01" w:rsidRPr="0058128C" w:rsidRDefault="009D0A01" w:rsidP="0058128C">
      <w:pPr>
        <w:jc w:val="center"/>
      </w:pPr>
    </w:p>
    <w:p w:rsidR="007353E9" w:rsidRPr="00F0114B" w:rsidRDefault="007353E9" w:rsidP="001700FE">
      <w:pPr>
        <w:pStyle w:val="Ttulo1"/>
        <w:rPr>
          <w:rFonts w:asciiTheme="minorHAnsi" w:hAnsiTheme="minorHAnsi"/>
          <w:sz w:val="24"/>
          <w:lang w:val="es-ES_tradnl"/>
        </w:rPr>
      </w:pPr>
      <w:bookmarkStart w:id="104" w:name="_Toc498519540"/>
      <w:r w:rsidRPr="00F0114B">
        <w:rPr>
          <w:rFonts w:asciiTheme="minorHAnsi" w:hAnsiTheme="minorHAnsi"/>
          <w:sz w:val="24"/>
          <w:lang w:val="es-ES_tradnl"/>
        </w:rPr>
        <w:lastRenderedPageBreak/>
        <w:t>Conclusiones y Recomendaciones</w:t>
      </w:r>
      <w:bookmarkEnd w:id="96"/>
      <w:bookmarkEnd w:id="97"/>
      <w:r w:rsidR="00F0114B">
        <w:rPr>
          <w:rFonts w:asciiTheme="minorHAnsi" w:hAnsiTheme="minorHAnsi"/>
          <w:sz w:val="24"/>
          <w:lang w:val="es-ES_tradnl"/>
        </w:rPr>
        <w:t>.</w:t>
      </w:r>
      <w:bookmarkEnd w:id="104"/>
    </w:p>
    <w:p w:rsidR="007353E9" w:rsidRDefault="007353E9" w:rsidP="007353E9">
      <w:pPr>
        <w:pStyle w:val="Textoindependiente"/>
        <w:tabs>
          <w:tab w:val="left" w:pos="1080"/>
        </w:tabs>
        <w:spacing w:after="0"/>
        <w:jc w:val="both"/>
        <w:rPr>
          <w:rFonts w:asciiTheme="minorHAnsi" w:eastAsia="Calibri" w:hAnsiTheme="minorHAnsi" w:cstheme="minorHAnsi"/>
          <w:color w:val="808080"/>
          <w:sz w:val="22"/>
          <w:szCs w:val="28"/>
          <w:lang w:val="es-MX" w:eastAsia="en-US"/>
        </w:rPr>
      </w:pPr>
    </w:p>
    <w:p w:rsidR="00952A86" w:rsidRPr="00F0114B" w:rsidRDefault="007353E9" w:rsidP="007353E9">
      <w:pPr>
        <w:jc w:val="both"/>
      </w:pPr>
      <w:r w:rsidRPr="000A10FA">
        <w:t>De acuerdo a lo</w:t>
      </w:r>
      <w:r>
        <w:t>s resultados de los indicadores de eficacia</w:t>
      </w:r>
      <w:r w:rsidRPr="000A10FA">
        <w:t xml:space="preserve"> la realización del proyecto del Libramiento Ferroviario de </w:t>
      </w:r>
      <w:r w:rsidR="002613A9">
        <w:t xml:space="preserve">Tapachula las  metas físicas </w:t>
      </w:r>
      <w:r>
        <w:t>fue</w:t>
      </w:r>
      <w:r w:rsidR="002613A9">
        <w:t>ron completadas aunque no</w:t>
      </w:r>
      <w:r>
        <w:t xml:space="preserve"> en tiempos favorables para su operación</w:t>
      </w:r>
      <w:r w:rsidRPr="000A10FA">
        <w:t>,</w:t>
      </w:r>
      <w:r>
        <w:t xml:space="preserve"> los beneficios sociales son de enorme significancia puesto que se mitiga el riesgo de una explosión salvando miles de vidas por el costo oportunidad del proyecto. Sí</w:t>
      </w:r>
      <w:r w:rsidRPr="000A10FA">
        <w:t xml:space="preserve"> </w:t>
      </w:r>
      <w:r>
        <w:t>bien los indicadores de rentabilidad</w:t>
      </w:r>
      <w:r w:rsidR="002613A9">
        <w:t xml:space="preserve"> son buenos</w:t>
      </w:r>
      <w:r>
        <w:t>,</w:t>
      </w:r>
      <w:r w:rsidR="002613A9">
        <w:t xml:space="preserve"> la planeación fue muy distinta de la realidad</w:t>
      </w:r>
      <w:r>
        <w:t xml:space="preserve"> con la visión a futuro y la situación actual del Ferrocarril del Istmo de Tehuantepec, se espera alcanzar dich</w:t>
      </w:r>
      <w:r w:rsidR="00F0114B">
        <w:t>o optimo antes de lo proyectado; Indispensable en todo tipo de proyectos s</w:t>
      </w:r>
      <w:r w:rsidR="00F0114B" w:rsidRPr="003C2A7B">
        <w:t>e recomienda</w:t>
      </w:r>
      <w:r w:rsidR="00F0114B">
        <w:t xml:space="preserve"> utilizar tasas de crecimiento conservadoras con el motivo de no caer en sobrestimaciones.</w:t>
      </w:r>
    </w:p>
    <w:p w:rsidR="003C2A7B" w:rsidRDefault="003C2A7B" w:rsidP="007353E9">
      <w:pPr>
        <w:jc w:val="both"/>
      </w:pPr>
      <w:bookmarkStart w:id="105" w:name="OLE_LINK1"/>
      <w:r w:rsidRPr="003C2A7B">
        <w:t xml:space="preserve">Se recomienda </w:t>
      </w:r>
      <w:bookmarkEnd w:id="105"/>
      <w:r w:rsidR="002613A9">
        <w:t>utilizar la metodología para la evaluación de proyectos de reubicación de terminales y libramientos ferroviarios publicado en mayo de 2010 por la CEPEP.</w:t>
      </w:r>
    </w:p>
    <w:p w:rsidR="002613A9" w:rsidRDefault="002613A9" w:rsidP="007353E9">
      <w:pPr>
        <w:jc w:val="both"/>
      </w:pPr>
      <w:r>
        <w:t xml:space="preserve">Así mismo, </w:t>
      </w:r>
      <w:r w:rsidR="00F0114B">
        <w:t xml:space="preserve">la metodología para la evaluación socioeconómica de  transporte ferroviario, publicada en 2013 por SECTRA Ministerio de transportes y telecomunicaciones del gobierno de Chile. </w:t>
      </w:r>
    </w:p>
    <w:p w:rsidR="003C2A7B" w:rsidRDefault="003C2A7B" w:rsidP="007353E9">
      <w:pPr>
        <w:jc w:val="both"/>
        <w:rPr>
          <w:rFonts w:cstheme="minorHAnsi"/>
          <w:color w:val="808080"/>
          <w:szCs w:val="28"/>
        </w:rPr>
      </w:pPr>
    </w:p>
    <w:p w:rsidR="00952A86" w:rsidRDefault="00952A86" w:rsidP="007353E9">
      <w:pPr>
        <w:jc w:val="both"/>
        <w:rPr>
          <w:rFonts w:cstheme="minorHAnsi"/>
          <w:color w:val="808080"/>
          <w:szCs w:val="28"/>
        </w:rPr>
      </w:pPr>
    </w:p>
    <w:p w:rsidR="00952A86" w:rsidRDefault="00952A86" w:rsidP="007353E9">
      <w:pPr>
        <w:jc w:val="both"/>
        <w:rPr>
          <w:rFonts w:cstheme="minorHAnsi"/>
          <w:color w:val="808080"/>
          <w:szCs w:val="28"/>
        </w:rPr>
      </w:pPr>
    </w:p>
    <w:p w:rsidR="0000448F" w:rsidRDefault="0000448F" w:rsidP="007353E9">
      <w:pPr>
        <w:jc w:val="both"/>
        <w:rPr>
          <w:rFonts w:cstheme="minorHAnsi"/>
          <w:color w:val="808080"/>
          <w:szCs w:val="28"/>
        </w:rPr>
      </w:pPr>
    </w:p>
    <w:p w:rsidR="0000448F" w:rsidRDefault="0000448F"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5E651A" w:rsidRDefault="005E651A" w:rsidP="007353E9">
      <w:pPr>
        <w:jc w:val="both"/>
        <w:rPr>
          <w:rFonts w:cstheme="minorHAnsi"/>
          <w:color w:val="808080"/>
          <w:szCs w:val="28"/>
        </w:rPr>
      </w:pPr>
    </w:p>
    <w:p w:rsidR="00952A86" w:rsidRDefault="00952A86" w:rsidP="00952A86">
      <w:bookmarkStart w:id="106" w:name="_Toc267575845"/>
    </w:p>
    <w:p w:rsidR="00952A86" w:rsidRDefault="00952A86" w:rsidP="00952A86"/>
    <w:p w:rsidR="00952A86" w:rsidRPr="00F0114B" w:rsidRDefault="00952A86" w:rsidP="001700FE">
      <w:pPr>
        <w:pStyle w:val="Ttulo1"/>
        <w:rPr>
          <w:rFonts w:asciiTheme="minorHAnsi" w:hAnsiTheme="minorHAnsi" w:cstheme="minorHAnsi"/>
          <w:i/>
          <w:sz w:val="24"/>
        </w:rPr>
      </w:pPr>
      <w:bookmarkStart w:id="107" w:name="_Toc454708703"/>
      <w:bookmarkStart w:id="108" w:name="_Toc498519541"/>
      <w:r w:rsidRPr="00F0114B">
        <w:rPr>
          <w:rFonts w:asciiTheme="minorHAnsi" w:hAnsiTheme="minorHAnsi" w:cstheme="minorHAnsi"/>
          <w:sz w:val="24"/>
        </w:rPr>
        <w:lastRenderedPageBreak/>
        <w:t>Anexo 1 Cálculo estimado de siniestro en el caso de la explosión.</w:t>
      </w:r>
      <w:bookmarkEnd w:id="107"/>
      <w:bookmarkEnd w:id="108"/>
    </w:p>
    <w:p w:rsidR="00952A86" w:rsidRDefault="00952A86" w:rsidP="00952A86">
      <w:pPr>
        <w:jc w:val="both"/>
      </w:pPr>
      <w:r>
        <w:t>El cálculo del siniestro se realizó en 2005 para el Costo Beneficio del Libram</w:t>
      </w:r>
      <w:r w:rsidR="00F0114B">
        <w:t>iento Ferroviario de Tapachula</w:t>
      </w:r>
      <w:r>
        <w:t>, en ese entonces se calculó el impacto de una explosión en la zona del mercado que involucrara 3 carros tanque de gasolina.  En este ejercicio, se supone que morirían 1000 personas y 1500 más resultarían heridas.  El daño a edificios alcanzaría dos franjas de 200 metros de cada uno de los derechos de vía existentes. Más de 3,000 personas tendrían que evacuar sus casas y quedarse en albergues durante un periodo de seis meses.  Se contemplaron obras de acarreo de escombros, descontaminación y reposición de edificios.</w:t>
      </w:r>
    </w:p>
    <w:p w:rsidR="00952A86" w:rsidRDefault="00952A86" w:rsidP="00952A86">
      <w:pPr>
        <w:jc w:val="both"/>
      </w:pPr>
      <w:r>
        <w:t>El costo estimado de este siniestro hipotético fue $ 284, 800,000, (precios de 2005) lo que es equiparable con el costo directo del siniestro de San Juanico, en el Valle de México, en 1984 (26 millones de dólares de la época), donde murieron aproximadamente 1,000 personas.</w:t>
      </w:r>
    </w:p>
    <w:p w:rsidR="00952A86" w:rsidRDefault="00952A86" w:rsidP="00952A86">
      <w:pPr>
        <w:spacing w:after="470"/>
        <w:jc w:val="both"/>
      </w:pPr>
      <w:r>
        <w:t>Vale la pena hacer notar que los costos de este siniestro hipotético fueron semejantes en magnitud a los costos estimados de construir un libramiento para circundar a la ciudad.  El precio de postergar la construcción de un libramiento hasta que haya un siniestro en la zona urbana podría ser casi del doble del costo estimado y ello sin considerar los costos, no cuantificables, de carácter humano (que son irreparables) y de naturaleza política (que son inevitables y cuya gestión es por naturaleza conflictiva).</w:t>
      </w:r>
    </w:p>
    <w:tbl>
      <w:tblPr>
        <w:tblW w:w="8720" w:type="dxa"/>
        <w:jc w:val="center"/>
        <w:tblCellMar>
          <w:left w:w="70" w:type="dxa"/>
          <w:right w:w="70" w:type="dxa"/>
        </w:tblCellMar>
        <w:tblLook w:val="04A0" w:firstRow="1" w:lastRow="0" w:firstColumn="1" w:lastColumn="0" w:noHBand="0" w:noVBand="1"/>
      </w:tblPr>
      <w:tblGrid>
        <w:gridCol w:w="1937"/>
        <w:gridCol w:w="5434"/>
        <w:gridCol w:w="1365"/>
      </w:tblGrid>
      <w:tr w:rsidR="00952A86" w:rsidRPr="00E467D0" w:rsidTr="00F0114B">
        <w:trPr>
          <w:trHeight w:val="315"/>
          <w:jc w:val="center"/>
        </w:trPr>
        <w:tc>
          <w:tcPr>
            <w:tcW w:w="8720" w:type="dxa"/>
            <w:gridSpan w:val="3"/>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952A86" w:rsidRPr="00E467D0" w:rsidRDefault="00952A86" w:rsidP="007D485F">
            <w:pPr>
              <w:spacing w:after="0" w:line="240" w:lineRule="auto"/>
              <w:jc w:val="center"/>
              <w:rPr>
                <w:rFonts w:ascii="Arial" w:eastAsia="Times New Roman" w:hAnsi="Arial" w:cs="Arial"/>
                <w:b/>
                <w:bCs/>
                <w:color w:val="FFFFFF"/>
                <w:sz w:val="24"/>
                <w:szCs w:val="24"/>
                <w:lang w:eastAsia="es-MX"/>
              </w:rPr>
            </w:pPr>
            <w:r w:rsidRPr="00E467D0">
              <w:rPr>
                <w:rFonts w:ascii="Arial" w:eastAsia="Times New Roman" w:hAnsi="Arial" w:cs="Arial"/>
                <w:b/>
                <w:bCs/>
                <w:color w:val="FFFFFF"/>
                <w:sz w:val="24"/>
                <w:szCs w:val="24"/>
                <w:lang w:eastAsia="es-MX"/>
              </w:rPr>
              <w:t xml:space="preserve">Impacto ilustrativo </w:t>
            </w:r>
            <w:r w:rsidR="00F0114B">
              <w:rPr>
                <w:rFonts w:ascii="Arial" w:eastAsia="Times New Roman" w:hAnsi="Arial" w:cs="Arial"/>
                <w:b/>
                <w:bCs/>
                <w:color w:val="FFFFFF"/>
                <w:sz w:val="24"/>
                <w:szCs w:val="24"/>
                <w:lang w:eastAsia="es-MX"/>
              </w:rPr>
              <w:t>de un siniestro (Precios de 2009</w:t>
            </w:r>
            <w:r w:rsidRPr="00E467D0">
              <w:rPr>
                <w:rFonts w:ascii="Arial" w:eastAsia="Times New Roman" w:hAnsi="Arial" w:cs="Arial"/>
                <w:b/>
                <w:bCs/>
                <w:color w:val="FFFFFF"/>
                <w:sz w:val="24"/>
                <w:szCs w:val="24"/>
                <w:lang w:eastAsia="es-MX"/>
              </w:rPr>
              <w:t>)</w:t>
            </w:r>
          </w:p>
        </w:tc>
      </w:tr>
      <w:tr w:rsidR="00952A86" w:rsidRPr="00E467D0" w:rsidTr="007D485F">
        <w:trPr>
          <w:trHeight w:val="300"/>
          <w:jc w:val="center"/>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Muertos</w:t>
            </w:r>
          </w:p>
        </w:tc>
        <w:tc>
          <w:tcPr>
            <w:tcW w:w="5434" w:type="dxa"/>
            <w:tcBorders>
              <w:top w:val="nil"/>
              <w:left w:val="nil"/>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1,000 * $90,000 por indemnización c/u</w:t>
            </w:r>
          </w:p>
        </w:tc>
        <w:tc>
          <w:tcPr>
            <w:tcW w:w="1349"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$90,000,000</w:t>
            </w:r>
          </w:p>
        </w:tc>
      </w:tr>
      <w:tr w:rsidR="00952A86" w:rsidRPr="00E467D0" w:rsidTr="007D485F">
        <w:trPr>
          <w:trHeight w:val="300"/>
          <w:jc w:val="center"/>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Heridos</w:t>
            </w:r>
          </w:p>
        </w:tc>
        <w:tc>
          <w:tcPr>
            <w:tcW w:w="5434" w:type="dxa"/>
            <w:tcBorders>
              <w:top w:val="nil"/>
              <w:left w:val="nil"/>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1,500 * 4,000 en gastos médicos c/u</w:t>
            </w:r>
          </w:p>
        </w:tc>
        <w:tc>
          <w:tcPr>
            <w:tcW w:w="1349"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$6,000,000</w:t>
            </w:r>
          </w:p>
        </w:tc>
      </w:tr>
      <w:tr w:rsidR="00952A86" w:rsidRPr="00E467D0" w:rsidTr="007D485F">
        <w:trPr>
          <w:trHeight w:val="300"/>
          <w:jc w:val="center"/>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Albergues</w:t>
            </w:r>
          </w:p>
        </w:tc>
        <w:tc>
          <w:tcPr>
            <w:tcW w:w="5434" w:type="dxa"/>
            <w:tcBorders>
              <w:top w:val="nil"/>
              <w:left w:val="nil"/>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3,000 personas * 50/día * 180 días</w:t>
            </w:r>
          </w:p>
        </w:tc>
        <w:tc>
          <w:tcPr>
            <w:tcW w:w="1349"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$27,000,000</w:t>
            </w:r>
          </w:p>
        </w:tc>
      </w:tr>
      <w:tr w:rsidR="00952A86" w:rsidRPr="00E467D0" w:rsidTr="007D485F">
        <w:trPr>
          <w:trHeight w:val="300"/>
          <w:jc w:val="center"/>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Acarreo escombros</w:t>
            </w:r>
          </w:p>
        </w:tc>
        <w:tc>
          <w:tcPr>
            <w:tcW w:w="5434" w:type="dxa"/>
            <w:tcBorders>
              <w:top w:val="nil"/>
              <w:left w:val="nil"/>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 xml:space="preserve">3 carros*20 m/carro*400 m*2 m*$12.50/m3-km* 5 </w:t>
            </w:r>
            <w:proofErr w:type="spellStart"/>
            <w:r w:rsidRPr="00E467D0">
              <w:rPr>
                <w:rFonts w:eastAsia="Times New Roman"/>
                <w:color w:val="000000"/>
                <w:lang w:eastAsia="es-MX"/>
              </w:rPr>
              <w:t>klm</w:t>
            </w:r>
            <w:proofErr w:type="spellEnd"/>
          </w:p>
        </w:tc>
        <w:tc>
          <w:tcPr>
            <w:tcW w:w="1349"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$3,000,000</w:t>
            </w:r>
          </w:p>
        </w:tc>
      </w:tr>
      <w:tr w:rsidR="00952A86" w:rsidRPr="00E467D0" w:rsidTr="007D485F">
        <w:trPr>
          <w:trHeight w:val="300"/>
          <w:jc w:val="center"/>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Descontaminación</w:t>
            </w:r>
          </w:p>
        </w:tc>
        <w:tc>
          <w:tcPr>
            <w:tcW w:w="5434" w:type="dxa"/>
            <w:tcBorders>
              <w:top w:val="nil"/>
              <w:left w:val="nil"/>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3 carros * 20 m/carro * 400 m * $200/m2</w:t>
            </w:r>
          </w:p>
        </w:tc>
        <w:tc>
          <w:tcPr>
            <w:tcW w:w="1349"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$4,800,000</w:t>
            </w:r>
          </w:p>
        </w:tc>
      </w:tr>
      <w:tr w:rsidR="00952A86" w:rsidRPr="00E467D0" w:rsidTr="007D485F">
        <w:trPr>
          <w:trHeight w:val="300"/>
          <w:jc w:val="center"/>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Reposición de casas</w:t>
            </w:r>
          </w:p>
        </w:tc>
        <w:tc>
          <w:tcPr>
            <w:tcW w:w="5434" w:type="dxa"/>
            <w:tcBorders>
              <w:top w:val="nil"/>
              <w:left w:val="nil"/>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3 carros * 20 m/carro * 400 m * $4,500/m2</w:t>
            </w:r>
          </w:p>
        </w:tc>
        <w:tc>
          <w:tcPr>
            <w:tcW w:w="1349"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$108,000,000</w:t>
            </w:r>
          </w:p>
        </w:tc>
      </w:tr>
      <w:tr w:rsidR="00952A86" w:rsidRPr="00E467D0" w:rsidTr="007D485F">
        <w:trPr>
          <w:trHeight w:val="300"/>
          <w:jc w:val="center"/>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Reposición de vías</w:t>
            </w:r>
          </w:p>
        </w:tc>
        <w:tc>
          <w:tcPr>
            <w:tcW w:w="5434"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rPr>
                <w:rFonts w:eastAsia="Times New Roman"/>
                <w:color w:val="000000"/>
                <w:lang w:eastAsia="es-MX"/>
              </w:rPr>
            </w:pPr>
            <w:r w:rsidRPr="00E467D0">
              <w:rPr>
                <w:rFonts w:eastAsia="Times New Roman"/>
                <w:color w:val="000000"/>
                <w:lang w:eastAsia="es-MX"/>
              </w:rPr>
              <w:t> </w:t>
            </w:r>
          </w:p>
        </w:tc>
        <w:tc>
          <w:tcPr>
            <w:tcW w:w="1349"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$1,000,000</w:t>
            </w:r>
          </w:p>
        </w:tc>
      </w:tr>
      <w:tr w:rsidR="00952A86" w:rsidRPr="00E467D0" w:rsidTr="007D485F">
        <w:trPr>
          <w:trHeight w:val="300"/>
          <w:jc w:val="center"/>
        </w:trPr>
        <w:tc>
          <w:tcPr>
            <w:tcW w:w="1937" w:type="dxa"/>
            <w:tcBorders>
              <w:top w:val="nil"/>
              <w:left w:val="single" w:sz="4" w:space="0" w:color="auto"/>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Ingresos caídos</w:t>
            </w:r>
          </w:p>
        </w:tc>
        <w:tc>
          <w:tcPr>
            <w:tcW w:w="5434" w:type="dxa"/>
            <w:tcBorders>
              <w:top w:val="nil"/>
              <w:left w:val="nil"/>
              <w:bottom w:val="single" w:sz="4" w:space="0" w:color="auto"/>
              <w:right w:val="single" w:sz="4" w:space="0" w:color="auto"/>
            </w:tcBorders>
            <w:shd w:val="clear" w:color="auto" w:fill="auto"/>
            <w:noWrap/>
            <w:vAlign w:val="center"/>
            <w:hideMark/>
          </w:tcPr>
          <w:p w:rsidR="00952A86" w:rsidRPr="00E467D0" w:rsidRDefault="00952A86" w:rsidP="007D485F">
            <w:pPr>
              <w:spacing w:after="0" w:line="240" w:lineRule="auto"/>
              <w:jc w:val="both"/>
              <w:rPr>
                <w:rFonts w:eastAsia="Times New Roman"/>
                <w:color w:val="000000"/>
                <w:lang w:eastAsia="es-MX"/>
              </w:rPr>
            </w:pPr>
            <w:r w:rsidRPr="00E467D0">
              <w:rPr>
                <w:rFonts w:eastAsia="Times New Roman"/>
                <w:color w:val="000000"/>
                <w:lang w:eastAsia="es-MX"/>
              </w:rPr>
              <w:t>90 días * $500,000/ día</w:t>
            </w:r>
          </w:p>
        </w:tc>
        <w:tc>
          <w:tcPr>
            <w:tcW w:w="1349" w:type="dxa"/>
            <w:tcBorders>
              <w:top w:val="nil"/>
              <w:left w:val="nil"/>
              <w:bottom w:val="single" w:sz="4" w:space="0" w:color="auto"/>
              <w:right w:val="single" w:sz="4" w:space="0" w:color="auto"/>
            </w:tcBorders>
            <w:shd w:val="clear" w:color="auto" w:fill="auto"/>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$45,000,000</w:t>
            </w:r>
          </w:p>
        </w:tc>
      </w:tr>
      <w:tr w:rsidR="00952A86" w:rsidRPr="00E467D0" w:rsidTr="009D0A01">
        <w:trPr>
          <w:trHeight w:val="300"/>
          <w:jc w:val="center"/>
        </w:trPr>
        <w:tc>
          <w:tcPr>
            <w:tcW w:w="7371"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952A86" w:rsidRPr="00E467D0" w:rsidRDefault="00952A86" w:rsidP="007D485F">
            <w:pPr>
              <w:spacing w:after="0" w:line="240" w:lineRule="auto"/>
              <w:jc w:val="center"/>
              <w:rPr>
                <w:rFonts w:eastAsia="Times New Roman"/>
                <w:color w:val="000000"/>
                <w:lang w:eastAsia="es-MX"/>
              </w:rPr>
            </w:pPr>
            <w:r w:rsidRPr="00E467D0">
              <w:rPr>
                <w:rFonts w:eastAsia="Times New Roman"/>
                <w:color w:val="000000"/>
                <w:lang w:eastAsia="es-MX"/>
              </w:rPr>
              <w:t>Total</w:t>
            </w:r>
          </w:p>
        </w:tc>
        <w:tc>
          <w:tcPr>
            <w:tcW w:w="1349" w:type="dxa"/>
            <w:tcBorders>
              <w:top w:val="nil"/>
              <w:left w:val="nil"/>
              <w:bottom w:val="single" w:sz="4" w:space="0" w:color="auto"/>
              <w:right w:val="single" w:sz="4" w:space="0" w:color="auto"/>
            </w:tcBorders>
            <w:shd w:val="clear" w:color="auto" w:fill="FBE4D5" w:themeFill="accent2" w:themeFillTint="33"/>
            <w:noWrap/>
            <w:vAlign w:val="bottom"/>
            <w:hideMark/>
          </w:tcPr>
          <w:p w:rsidR="00952A86" w:rsidRPr="00E467D0" w:rsidRDefault="00952A86" w:rsidP="007D485F">
            <w:pPr>
              <w:spacing w:after="0" w:line="240" w:lineRule="auto"/>
              <w:jc w:val="right"/>
              <w:rPr>
                <w:rFonts w:eastAsia="Times New Roman"/>
                <w:color w:val="000000"/>
                <w:lang w:eastAsia="es-MX"/>
              </w:rPr>
            </w:pPr>
            <w:r w:rsidRPr="00E467D0">
              <w:rPr>
                <w:rFonts w:eastAsia="Times New Roman"/>
                <w:color w:val="000000"/>
                <w:lang w:eastAsia="es-MX"/>
              </w:rPr>
              <w:t>$284,800,000</w:t>
            </w:r>
          </w:p>
        </w:tc>
      </w:tr>
    </w:tbl>
    <w:p w:rsidR="00952A86" w:rsidRDefault="00952A86" w:rsidP="00952A86"/>
    <w:p w:rsidR="00952A86" w:rsidRDefault="00952A86" w:rsidP="00952A86"/>
    <w:p w:rsidR="00952A86" w:rsidRDefault="00952A86" w:rsidP="00952A86"/>
    <w:p w:rsidR="00F0114B" w:rsidRDefault="00F0114B" w:rsidP="00952A86"/>
    <w:p w:rsidR="00F0114B" w:rsidRDefault="00F0114B" w:rsidP="00952A86"/>
    <w:p w:rsidR="00F0114B" w:rsidRDefault="00F0114B" w:rsidP="00952A86"/>
    <w:p w:rsidR="00F0114B" w:rsidRDefault="00F0114B" w:rsidP="00952A86"/>
    <w:p w:rsidR="00F0114B" w:rsidRDefault="00F0114B" w:rsidP="00952A86"/>
    <w:p w:rsidR="00F0114B" w:rsidRDefault="00F0114B" w:rsidP="00952A86"/>
    <w:p w:rsidR="00952A86" w:rsidRPr="00F0114B" w:rsidRDefault="00952A86" w:rsidP="001700FE">
      <w:pPr>
        <w:keepNext/>
        <w:keepLines/>
        <w:spacing w:after="0" w:line="240" w:lineRule="auto"/>
        <w:outlineLvl w:val="0"/>
        <w:rPr>
          <w:rFonts w:eastAsia="Times New Roman" w:cstheme="minorHAnsi"/>
          <w:b/>
          <w:bCs/>
          <w:sz w:val="24"/>
          <w:szCs w:val="24"/>
        </w:rPr>
      </w:pPr>
      <w:bookmarkStart w:id="109" w:name="_Toc454708705"/>
      <w:bookmarkStart w:id="110" w:name="_Toc498519542"/>
      <w:r w:rsidRPr="00F0114B">
        <w:rPr>
          <w:rFonts w:eastAsia="Times New Roman" w:cstheme="minorHAnsi"/>
          <w:b/>
          <w:bCs/>
          <w:sz w:val="24"/>
          <w:szCs w:val="24"/>
        </w:rPr>
        <w:lastRenderedPageBreak/>
        <w:t>Bibliografía</w:t>
      </w:r>
      <w:bookmarkEnd w:id="106"/>
      <w:bookmarkEnd w:id="109"/>
      <w:bookmarkEnd w:id="110"/>
    </w:p>
    <w:p w:rsidR="00952A86" w:rsidRDefault="00952A86" w:rsidP="00952A86">
      <w:pPr>
        <w:pStyle w:val="Textoindependiente"/>
        <w:tabs>
          <w:tab w:val="left" w:pos="1080"/>
        </w:tabs>
        <w:spacing w:after="0"/>
        <w:jc w:val="both"/>
        <w:rPr>
          <w:rFonts w:asciiTheme="minorHAnsi" w:eastAsia="Calibri" w:hAnsiTheme="minorHAnsi" w:cstheme="minorHAnsi"/>
          <w:color w:val="808080"/>
          <w:sz w:val="22"/>
          <w:szCs w:val="28"/>
          <w:lang w:val="es-MX" w:eastAsia="en-US"/>
        </w:rPr>
      </w:pPr>
    </w:p>
    <w:p w:rsidR="00952A86" w:rsidRPr="008D7834" w:rsidRDefault="00952A86" w:rsidP="00952A86">
      <w:pPr>
        <w:pStyle w:val="Prrafodelista"/>
        <w:numPr>
          <w:ilvl w:val="0"/>
          <w:numId w:val="11"/>
        </w:numPr>
        <w:spacing w:after="0" w:line="240" w:lineRule="auto"/>
        <w:jc w:val="both"/>
        <w:rPr>
          <w:szCs w:val="21"/>
        </w:rPr>
      </w:pPr>
      <w:r w:rsidRPr="008D7834">
        <w:rPr>
          <w:szCs w:val="21"/>
        </w:rPr>
        <w:t>BACA U., Gabriel. (2014). Administración General hacia un enfoque de proceso. México, D. F.: Grupo Editorial Patria.</w:t>
      </w:r>
    </w:p>
    <w:p w:rsidR="00952A86" w:rsidRPr="008D7834" w:rsidRDefault="00952A86" w:rsidP="00952A86">
      <w:pPr>
        <w:spacing w:after="0" w:line="240" w:lineRule="auto"/>
        <w:contextualSpacing/>
        <w:jc w:val="both"/>
        <w:rPr>
          <w:szCs w:val="21"/>
        </w:rPr>
      </w:pPr>
    </w:p>
    <w:p w:rsidR="00952A86" w:rsidRPr="008D7834" w:rsidRDefault="00952A86" w:rsidP="00952A86">
      <w:pPr>
        <w:pStyle w:val="Prrafodelista"/>
        <w:numPr>
          <w:ilvl w:val="0"/>
          <w:numId w:val="11"/>
        </w:numPr>
        <w:spacing w:after="0" w:line="240" w:lineRule="auto"/>
        <w:jc w:val="both"/>
        <w:rPr>
          <w:szCs w:val="21"/>
        </w:rPr>
      </w:pPr>
      <w:r w:rsidRPr="008D7834">
        <w:rPr>
          <w:szCs w:val="21"/>
        </w:rPr>
        <w:t>BARBERO, José A. (2010). La logística de cargas en América Latina y el Caribe: una agenda   para mejorar su desempeño. Washington, EE.UU.: Banco Interamericano de Desarrollo (BID).</w:t>
      </w:r>
    </w:p>
    <w:p w:rsidR="00952A86" w:rsidRPr="008D7834" w:rsidRDefault="00952A86" w:rsidP="00952A86">
      <w:pPr>
        <w:spacing w:after="0" w:line="240" w:lineRule="auto"/>
        <w:contextualSpacing/>
        <w:jc w:val="both"/>
        <w:rPr>
          <w:szCs w:val="21"/>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 xml:space="preserve">CRUZ, Gabriela y Hernández García, Salvador. (2014). Diagnóstico socioeconómico en la región del corredor Transistmico. Publicación Técnica 447. </w:t>
      </w:r>
      <w:proofErr w:type="spellStart"/>
      <w:r w:rsidRPr="008D7834">
        <w:rPr>
          <w:rFonts w:asciiTheme="minorHAnsi" w:hAnsiTheme="minorHAnsi"/>
          <w:sz w:val="21"/>
          <w:szCs w:val="21"/>
          <w:lang w:val="es-ES_tradnl"/>
        </w:rPr>
        <w:t>Sanfandila</w:t>
      </w:r>
      <w:proofErr w:type="spellEnd"/>
      <w:r w:rsidRPr="008D7834">
        <w:rPr>
          <w:rFonts w:asciiTheme="minorHAnsi" w:hAnsiTheme="minorHAnsi"/>
          <w:sz w:val="21"/>
          <w:szCs w:val="21"/>
          <w:lang w:val="es-ES_tradnl"/>
        </w:rPr>
        <w:t xml:space="preserve">, Querétaro, México: Instituto Mexicano del Transporte. </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 xml:space="preserve">CRUZ, Gabriela. (2014). Potencial del desarrollo económico de la zona de influencia del corredor Transistmico mexicano: diagnóstico preliminar y propuesta metodológica. Publicación Técnica 426. </w:t>
      </w:r>
      <w:proofErr w:type="spellStart"/>
      <w:r w:rsidRPr="008D7834">
        <w:rPr>
          <w:rFonts w:asciiTheme="minorHAnsi" w:hAnsiTheme="minorHAnsi"/>
          <w:sz w:val="21"/>
          <w:szCs w:val="21"/>
          <w:lang w:val="es-ES_tradnl"/>
        </w:rPr>
        <w:t>Sanfandila</w:t>
      </w:r>
      <w:proofErr w:type="spellEnd"/>
      <w:r w:rsidRPr="008D7834">
        <w:rPr>
          <w:rFonts w:asciiTheme="minorHAnsi" w:hAnsiTheme="minorHAnsi"/>
          <w:sz w:val="21"/>
          <w:szCs w:val="21"/>
          <w:lang w:val="es-ES_tradnl"/>
        </w:rPr>
        <w:t xml:space="preserve">, Querétaro, México: Instituto Mexicano del Transporte. </w:t>
      </w:r>
    </w:p>
    <w:p w:rsidR="00952A86" w:rsidRPr="008D7834" w:rsidRDefault="00952A86" w:rsidP="00952A86">
      <w:pPr>
        <w:spacing w:after="0" w:line="240" w:lineRule="auto"/>
        <w:contextualSpacing/>
        <w:jc w:val="both"/>
        <w:rPr>
          <w:szCs w:val="21"/>
        </w:rPr>
      </w:pPr>
    </w:p>
    <w:p w:rsidR="00952A86" w:rsidRPr="008D7834" w:rsidRDefault="00952A86" w:rsidP="00952A86">
      <w:pPr>
        <w:pStyle w:val="Prrafodelista"/>
        <w:numPr>
          <w:ilvl w:val="0"/>
          <w:numId w:val="11"/>
        </w:numPr>
        <w:spacing w:after="0" w:line="240" w:lineRule="auto"/>
        <w:jc w:val="both"/>
        <w:rPr>
          <w:szCs w:val="21"/>
        </w:rPr>
      </w:pPr>
      <w:r w:rsidRPr="008D7834">
        <w:rPr>
          <w:szCs w:val="21"/>
        </w:rPr>
        <w:t>KOHON, Jorge. (2011). Más y mejores trenes. Cambiando la matriz de transporte en América Latina y el Caribe. Washington, EE.UU.: Banco Interamericano de Desarrollo (BID).</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 xml:space="preserve">MENDOZA, Juan Fernando; Romero, Luis Felipe y Cuevas, Ana Cecilia. (2012). Vulnerabilidad de las Carreteras por el Transporte de Materiales y Residuos Peligrosos. Publicación Técnica 364. </w:t>
      </w:r>
      <w:proofErr w:type="spellStart"/>
      <w:r w:rsidRPr="008D7834">
        <w:rPr>
          <w:rFonts w:asciiTheme="minorHAnsi" w:hAnsiTheme="minorHAnsi"/>
          <w:sz w:val="21"/>
          <w:szCs w:val="21"/>
          <w:lang w:val="es-ES_tradnl"/>
        </w:rPr>
        <w:t>Sanfandila</w:t>
      </w:r>
      <w:proofErr w:type="spellEnd"/>
      <w:r w:rsidRPr="008D7834">
        <w:rPr>
          <w:rFonts w:asciiTheme="minorHAnsi" w:hAnsiTheme="minorHAnsi"/>
          <w:sz w:val="21"/>
          <w:szCs w:val="21"/>
          <w:lang w:val="es-ES_tradnl"/>
        </w:rPr>
        <w:t xml:space="preserve">, Querétaro. México: Instituto Mexicano del Transporte. </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 xml:space="preserve">NIEBEL, Benjamín W. y </w:t>
      </w:r>
      <w:proofErr w:type="spellStart"/>
      <w:r w:rsidRPr="008D7834">
        <w:rPr>
          <w:rFonts w:asciiTheme="minorHAnsi" w:hAnsiTheme="minorHAnsi"/>
          <w:sz w:val="21"/>
          <w:szCs w:val="21"/>
          <w:lang w:val="es-ES_tradnl"/>
        </w:rPr>
        <w:t>Freivalds</w:t>
      </w:r>
      <w:proofErr w:type="spellEnd"/>
      <w:r w:rsidRPr="008D7834">
        <w:rPr>
          <w:rFonts w:asciiTheme="minorHAnsi" w:hAnsiTheme="minorHAnsi"/>
          <w:sz w:val="21"/>
          <w:szCs w:val="21"/>
          <w:lang w:val="es-ES_tradnl"/>
        </w:rPr>
        <w:t xml:space="preserve">, </w:t>
      </w:r>
      <w:proofErr w:type="spellStart"/>
      <w:r w:rsidRPr="008D7834">
        <w:rPr>
          <w:rFonts w:asciiTheme="minorHAnsi" w:hAnsiTheme="minorHAnsi"/>
          <w:sz w:val="21"/>
          <w:szCs w:val="21"/>
          <w:lang w:val="es-ES_tradnl"/>
        </w:rPr>
        <w:t>Andris</w:t>
      </w:r>
      <w:proofErr w:type="spellEnd"/>
      <w:r w:rsidRPr="008D7834">
        <w:rPr>
          <w:rFonts w:asciiTheme="minorHAnsi" w:hAnsiTheme="minorHAnsi"/>
          <w:sz w:val="21"/>
          <w:szCs w:val="21"/>
          <w:lang w:val="es-ES_tradnl"/>
        </w:rPr>
        <w:t>. (2009). Ingeniería industrial: métodos, estándares y diseño del trabajo. México: Editorial McGraw-Hill. Capítulos 1 y 11.</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 xml:space="preserve">Gea, Grupo de economistas y Asociados. (2007). Descripción de la </w:t>
      </w:r>
      <w:proofErr w:type="spellStart"/>
      <w:r w:rsidRPr="008D7834">
        <w:rPr>
          <w:rFonts w:asciiTheme="minorHAnsi" w:hAnsiTheme="minorHAnsi"/>
          <w:sz w:val="21"/>
          <w:szCs w:val="21"/>
          <w:lang w:val="es-ES_tradnl"/>
        </w:rPr>
        <w:t>Metología</w:t>
      </w:r>
      <w:proofErr w:type="spellEnd"/>
      <w:r w:rsidRPr="008D7834">
        <w:rPr>
          <w:rFonts w:asciiTheme="minorHAnsi" w:hAnsiTheme="minorHAnsi"/>
          <w:sz w:val="21"/>
          <w:szCs w:val="21"/>
          <w:lang w:val="es-ES_tradnl"/>
        </w:rPr>
        <w:t xml:space="preserve"> para la Asignación de Cotos  </w:t>
      </w:r>
    </w:p>
    <w:p w:rsidR="00952A86" w:rsidRDefault="00952A86" w:rsidP="00952A86">
      <w:bookmarkStart w:id="111" w:name="_Toc441950089"/>
    </w:p>
    <w:p w:rsidR="00952A86" w:rsidRDefault="00952A86" w:rsidP="00952A86"/>
    <w:p w:rsidR="00952A86" w:rsidRDefault="00952A86" w:rsidP="00952A86"/>
    <w:p w:rsidR="00952A86" w:rsidRDefault="00952A86" w:rsidP="00952A86"/>
    <w:p w:rsidR="006665BB" w:rsidRDefault="006665BB" w:rsidP="00952A86"/>
    <w:p w:rsidR="006665BB" w:rsidRDefault="006665BB" w:rsidP="00952A86"/>
    <w:p w:rsidR="006665BB" w:rsidRDefault="006665BB" w:rsidP="00952A86"/>
    <w:p w:rsidR="00952A86" w:rsidRDefault="00952A86" w:rsidP="00952A86"/>
    <w:p w:rsidR="00952A86" w:rsidRDefault="00952A86" w:rsidP="00952A86"/>
    <w:p w:rsidR="00952A86" w:rsidRDefault="00952A86" w:rsidP="00952A86"/>
    <w:p w:rsidR="00F0114B" w:rsidRDefault="00F0114B" w:rsidP="00952A86"/>
    <w:p w:rsidR="00952A86" w:rsidRDefault="00952A86" w:rsidP="00952A86"/>
    <w:p w:rsidR="00952A86" w:rsidRPr="00F0114B" w:rsidRDefault="00952A86" w:rsidP="001700FE">
      <w:pPr>
        <w:rPr>
          <w:b/>
          <w:sz w:val="24"/>
        </w:rPr>
      </w:pPr>
      <w:bookmarkStart w:id="112" w:name="_GoBack"/>
      <w:bookmarkEnd w:id="112"/>
      <w:r w:rsidRPr="00F0114B">
        <w:rPr>
          <w:b/>
          <w:sz w:val="24"/>
        </w:rPr>
        <w:lastRenderedPageBreak/>
        <w:t>Consultas en Línea</w:t>
      </w:r>
      <w:bookmarkEnd w:id="111"/>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CÁMARA DE DIPUTADOS. (2015). Ley Orgánica de la Administración Pública Federal. Recuperado el 16 de mayo de 2016, de: http://www.diputados.gob.mx/LeyesBiblio/ref/loapf.htm</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CÁMARA DE DIPUTADOS. (2014). Ley Federal de las Entidades Paraestatales. Recuperado el 16 de mayo de 2016, de: http://www.diputados.gob.mx/LeyesBiblio/pdf/110_110814.pdf</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CÁMARA DE DIPUTADOS. (2013). Ley General de Bienes Nacionales. Recuperado el 16 de mayo de 2016, de: http://www.diputados.gob.mx/LeyesBiblio/pdf/267.pdf</w:t>
      </w:r>
    </w:p>
    <w:p w:rsidR="00952A86" w:rsidRPr="008D7834" w:rsidRDefault="00952A86" w:rsidP="00952A86">
      <w:pPr>
        <w:pStyle w:val="Sinespaciado"/>
        <w:jc w:val="both"/>
        <w:rPr>
          <w:rFonts w:asciiTheme="minorHAnsi" w:hAnsiTheme="minorHAnsi"/>
          <w:sz w:val="21"/>
          <w:szCs w:val="21"/>
          <w:lang w:val="es-ES_tradnl"/>
        </w:rPr>
      </w:pPr>
    </w:p>
    <w:p w:rsidR="00952A86" w:rsidRPr="00F0114B"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 xml:space="preserve">CÁMARA DE DIPUTADOS. (2012). Ley Federal de Presupuesto y Responsabilidad Hacendaria. </w:t>
      </w:r>
      <w:r w:rsidRPr="00F0114B">
        <w:rPr>
          <w:rFonts w:asciiTheme="minorHAnsi" w:hAnsiTheme="minorHAnsi"/>
          <w:sz w:val="21"/>
          <w:szCs w:val="21"/>
          <w:lang w:val="es-ES_tradnl"/>
        </w:rPr>
        <w:t xml:space="preserve">Recuperado el 16 de mayo de 2016, de: </w:t>
      </w:r>
      <w:hyperlink r:id="rId27" w:history="1">
        <w:r w:rsidRPr="00F0114B">
          <w:rPr>
            <w:rStyle w:val="Hipervnculo"/>
            <w:rFonts w:asciiTheme="minorHAnsi" w:hAnsiTheme="minorHAnsi"/>
            <w:color w:val="auto"/>
            <w:sz w:val="21"/>
            <w:szCs w:val="21"/>
            <w:lang w:val="es-ES_tradnl"/>
          </w:rPr>
          <w:t>http://www.senado.gob.mx/comisiones/energia/docs/marco_LFPRH.pdf</w:t>
        </w:r>
      </w:hyperlink>
      <w:r w:rsidRPr="00F0114B">
        <w:rPr>
          <w:rFonts w:asciiTheme="minorHAnsi" w:hAnsiTheme="minorHAnsi"/>
          <w:sz w:val="21"/>
          <w:szCs w:val="21"/>
          <w:lang w:val="es-ES_tradnl"/>
        </w:rPr>
        <w:t xml:space="preserve"> </w:t>
      </w:r>
    </w:p>
    <w:p w:rsidR="00952A86" w:rsidRPr="00F0114B" w:rsidRDefault="00952A86" w:rsidP="00952A86">
      <w:pPr>
        <w:pStyle w:val="Sinespaciado"/>
        <w:jc w:val="both"/>
        <w:rPr>
          <w:rFonts w:asciiTheme="minorHAnsi" w:hAnsiTheme="minorHAnsi"/>
          <w:sz w:val="21"/>
          <w:szCs w:val="21"/>
          <w:lang w:val="es-ES_tradnl"/>
        </w:rPr>
      </w:pPr>
    </w:p>
    <w:p w:rsidR="00952A86" w:rsidRPr="00F0114B" w:rsidRDefault="00952A86" w:rsidP="00952A86">
      <w:pPr>
        <w:pStyle w:val="Prrafodelista"/>
        <w:numPr>
          <w:ilvl w:val="0"/>
          <w:numId w:val="11"/>
        </w:numPr>
        <w:shd w:val="clear" w:color="auto" w:fill="FFFFFF"/>
        <w:spacing w:after="0" w:line="240" w:lineRule="auto"/>
        <w:jc w:val="both"/>
        <w:rPr>
          <w:sz w:val="21"/>
          <w:szCs w:val="21"/>
          <w:lang w:val="es-ES_tradnl"/>
        </w:rPr>
      </w:pPr>
      <w:r w:rsidRPr="00F0114B">
        <w:rPr>
          <w:sz w:val="21"/>
          <w:szCs w:val="21"/>
          <w:lang w:val="es-ES_tradnl"/>
        </w:rPr>
        <w:t xml:space="preserve">CÁMARA DE DIPUTADOS. (2006). </w:t>
      </w:r>
      <w:r w:rsidRPr="00F0114B">
        <w:rPr>
          <w:b/>
          <w:bCs/>
          <w:sz w:val="16"/>
          <w:szCs w:val="16"/>
          <w:lang w:val="es-ES_tradnl"/>
        </w:rPr>
        <w:t>PLAN</w:t>
      </w:r>
      <w:r w:rsidRPr="00F0114B">
        <w:rPr>
          <w:sz w:val="16"/>
          <w:szCs w:val="16"/>
          <w:lang w:val="es-ES_tradnl"/>
        </w:rPr>
        <w:t xml:space="preserve"> Nacional de Desarrollo 2001-2006. </w:t>
      </w:r>
      <w:r w:rsidRPr="00F0114B">
        <w:rPr>
          <w:sz w:val="21"/>
          <w:szCs w:val="21"/>
          <w:lang w:val="es-ES_tradnl"/>
        </w:rPr>
        <w:t>. Recuperado el 16 de mayo de 2016, de: http://www.diputados.gob.mx/LeyesBiblio/compila/pnd.htm</w:t>
      </w:r>
    </w:p>
    <w:p w:rsidR="00952A86" w:rsidRPr="00F0114B" w:rsidRDefault="00952A86" w:rsidP="00952A86">
      <w:pPr>
        <w:spacing w:after="0" w:line="240" w:lineRule="auto"/>
        <w:jc w:val="both"/>
        <w:rPr>
          <w:szCs w:val="21"/>
        </w:rPr>
      </w:pPr>
    </w:p>
    <w:p w:rsidR="00952A86" w:rsidRPr="00F0114B" w:rsidRDefault="00952A86" w:rsidP="00952A86">
      <w:pPr>
        <w:pStyle w:val="Sinespaciado"/>
        <w:numPr>
          <w:ilvl w:val="0"/>
          <w:numId w:val="11"/>
        </w:numPr>
        <w:rPr>
          <w:rFonts w:asciiTheme="minorHAnsi" w:hAnsiTheme="minorHAnsi"/>
          <w:sz w:val="21"/>
          <w:szCs w:val="21"/>
          <w:lang w:val="es-ES_tradnl"/>
        </w:rPr>
      </w:pPr>
      <w:r w:rsidRPr="00F0114B">
        <w:rPr>
          <w:rFonts w:asciiTheme="minorHAnsi" w:hAnsiTheme="minorHAnsi"/>
          <w:sz w:val="21"/>
          <w:szCs w:val="21"/>
          <w:lang w:val="es-ES_tradnl"/>
        </w:rPr>
        <w:t xml:space="preserve">CONSEJO NACIONAL DE EVALUACIÓN DE LA POLÍTICA DE DESARROLLO SOCIAL (CONEVAL) (2015). Modelo de Términos de Referencia para la Evaluación en Materia de Diseño. Recuperado el 18 de mayo de 2016, de: </w:t>
      </w:r>
      <w:hyperlink r:id="rId28" w:history="1">
        <w:r w:rsidRPr="00F0114B">
          <w:rPr>
            <w:rStyle w:val="Hipervnculo"/>
            <w:rFonts w:asciiTheme="minorHAnsi" w:hAnsiTheme="minorHAnsi"/>
            <w:color w:val="auto"/>
            <w:sz w:val="21"/>
            <w:szCs w:val="21"/>
            <w:lang w:val="es-ES_tradnl"/>
          </w:rPr>
          <w:t>http://www.coneval.gob.mx/rw/resource/coneval/eval_mon/normatividad_matriz/Modelo_de_terminos_de_referencia_evaluacion_diseno_final.pdf</w:t>
        </w:r>
      </w:hyperlink>
    </w:p>
    <w:p w:rsidR="00952A86" w:rsidRPr="00F0114B" w:rsidRDefault="00952A86" w:rsidP="00952A86">
      <w:pPr>
        <w:pStyle w:val="Sinespaciado"/>
        <w:rPr>
          <w:rFonts w:asciiTheme="minorHAnsi" w:hAnsiTheme="minorHAnsi"/>
          <w:sz w:val="21"/>
          <w:szCs w:val="21"/>
          <w:lang w:val="es-ES_tradnl"/>
        </w:rPr>
      </w:pPr>
    </w:p>
    <w:p w:rsidR="00952A86" w:rsidRPr="008D7834" w:rsidRDefault="00952A86" w:rsidP="00952A86">
      <w:pPr>
        <w:pStyle w:val="Sinespaciado"/>
        <w:numPr>
          <w:ilvl w:val="0"/>
          <w:numId w:val="11"/>
        </w:numPr>
        <w:rPr>
          <w:rFonts w:asciiTheme="minorHAnsi" w:hAnsiTheme="minorHAnsi"/>
          <w:sz w:val="21"/>
          <w:szCs w:val="21"/>
          <w:lang w:val="es-ES_tradnl"/>
        </w:rPr>
      </w:pPr>
      <w:r w:rsidRPr="00F0114B">
        <w:rPr>
          <w:rFonts w:asciiTheme="minorHAnsi" w:hAnsiTheme="minorHAnsi"/>
          <w:sz w:val="21"/>
          <w:szCs w:val="21"/>
          <w:lang w:val="es-ES_tradnl"/>
        </w:rPr>
        <w:t>CONEVAL. (s.f.). Elementos mínimos a considerar en la elaboración de diagnósticos de programas nuevos. Recuperado el 18 de mayo de 2016, de: http://www.coneval.gob.mx/Informes/Evaluacion/Impacto/Diagnostico</w:t>
      </w:r>
      <w:r w:rsidRPr="008D7834">
        <w:rPr>
          <w:rFonts w:asciiTheme="minorHAnsi" w:hAnsiTheme="minorHAnsi"/>
          <w:sz w:val="21"/>
          <w:szCs w:val="21"/>
          <w:lang w:val="es-ES_tradnl"/>
        </w:rPr>
        <w:t>_Programas_Nuevos.pdf</w:t>
      </w:r>
    </w:p>
    <w:p w:rsidR="00952A86" w:rsidRPr="008D7834" w:rsidRDefault="00952A86" w:rsidP="00952A86">
      <w:pPr>
        <w:spacing w:after="0" w:line="240" w:lineRule="auto"/>
        <w:jc w:val="both"/>
        <w:rPr>
          <w:szCs w:val="21"/>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CONSEJO NACIONAL DE EVALUACIÓN DE LA POLÍTICA DE DESARROLLO SOCIAL (CONEVAL), SECRETARÍA DE HACIENDA Y CRÉDITO PÚBLICO (SHCP). (2015). Elementos mínimos para la elaboración del diagnóstico que justifica la creación o modificación sustancial de programas presupuestarios a incluirse en el proyecto de Presupuesto de Egresos de la Federación para el Ejercicio Fiscal 2016. Recuperado el 22 de mayo de 2016, de: http://www.shcp.gob.mx/EGRESOS/PEF/programacion/programacion_15/elementos_elaboracion_diagnostico_2016.pdf</w:t>
      </w:r>
    </w:p>
    <w:p w:rsidR="00952A86" w:rsidRPr="004647EE" w:rsidRDefault="00952A86" w:rsidP="00952A86">
      <w:pPr>
        <w:pStyle w:val="Sinespaciado"/>
        <w:jc w:val="both"/>
        <w:rPr>
          <w:rFonts w:asciiTheme="minorHAnsi" w:hAnsiTheme="minorHAnsi"/>
          <w:sz w:val="21"/>
          <w:szCs w:val="21"/>
          <w:lang w:val="es-MX"/>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CONEVAL. (2014). Diagnóstico de Matrices de Indicadores para Resultados 2014. Principales Hallazgos. Recuperado el 22 de mayo de 2016, de: http://www.coneval.gob.mx/Evaluacion/Documents/Diagnostico_MIR_2014.pdf</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CONEVAL. (2013). Programa Anual de Evaluación 2013. Recuperado el 16 de mayo de 2016, de: http://www.coneval.gob.mx/Informes/Normateca/PAE_2013.pdf</w:t>
      </w:r>
    </w:p>
    <w:p w:rsidR="00952A86" w:rsidRPr="008D7834" w:rsidRDefault="00952A86" w:rsidP="00952A86">
      <w:pPr>
        <w:pStyle w:val="Sinespaciado"/>
        <w:jc w:val="both"/>
        <w:rPr>
          <w:rFonts w:asciiTheme="minorHAnsi" w:hAnsiTheme="minorHAnsi"/>
          <w:sz w:val="21"/>
          <w:szCs w:val="21"/>
          <w:lang w:val="es-ES_tradnl"/>
        </w:rPr>
      </w:pPr>
    </w:p>
    <w:p w:rsidR="00952A86" w:rsidRPr="005C0C7A" w:rsidRDefault="00952A86" w:rsidP="00952A86">
      <w:pPr>
        <w:pStyle w:val="Sinespaciado"/>
        <w:numPr>
          <w:ilvl w:val="0"/>
          <w:numId w:val="11"/>
        </w:numPr>
        <w:rPr>
          <w:rFonts w:asciiTheme="minorHAnsi" w:hAnsiTheme="minorHAnsi"/>
          <w:sz w:val="21"/>
          <w:szCs w:val="21"/>
          <w:lang w:val="es-ES_tradnl"/>
        </w:rPr>
      </w:pPr>
      <w:r w:rsidRPr="008D7834">
        <w:rPr>
          <w:rFonts w:asciiTheme="minorHAnsi" w:hAnsiTheme="minorHAnsi"/>
          <w:sz w:val="21"/>
          <w:szCs w:val="21"/>
          <w:lang w:val="es-ES_tradnl"/>
        </w:rPr>
        <w:t xml:space="preserve">FERROCARRIL DEL ISTMO DE TEHUANTEPEC (FIT) (2011). Manual General de Organización. Recuperado el 11 de mayo de 2016, de: </w:t>
      </w:r>
      <w:r w:rsidRPr="004647EE">
        <w:rPr>
          <w:rFonts w:asciiTheme="minorHAnsi" w:hAnsiTheme="minorHAnsi" w:cs="Arial"/>
          <w:sz w:val="21"/>
          <w:szCs w:val="21"/>
          <w:shd w:val="clear" w:color="auto" w:fill="FFFFFF"/>
          <w:lang w:val="es-MX"/>
        </w:rPr>
        <w:t>portaltransparencia.gob.mx/</w:t>
      </w:r>
      <w:proofErr w:type="spellStart"/>
      <w:r w:rsidRPr="004647EE">
        <w:rPr>
          <w:rFonts w:asciiTheme="minorHAnsi" w:hAnsiTheme="minorHAnsi" w:cs="Arial"/>
          <w:sz w:val="21"/>
          <w:szCs w:val="21"/>
          <w:shd w:val="clear" w:color="auto" w:fill="FFFFFF"/>
          <w:lang w:val="es-MX"/>
        </w:rPr>
        <w:t>pot</w:t>
      </w:r>
      <w:proofErr w:type="spellEnd"/>
      <w:r w:rsidRPr="004647EE">
        <w:rPr>
          <w:rFonts w:asciiTheme="minorHAnsi" w:hAnsiTheme="minorHAnsi" w:cs="Arial"/>
          <w:sz w:val="21"/>
          <w:szCs w:val="21"/>
          <w:shd w:val="clear" w:color="auto" w:fill="FFFFFF"/>
          <w:lang w:val="es-MX"/>
        </w:rPr>
        <w:t>/</w:t>
      </w:r>
      <w:proofErr w:type="spellStart"/>
      <w:r w:rsidRPr="004647EE">
        <w:rPr>
          <w:rFonts w:asciiTheme="minorHAnsi" w:hAnsiTheme="minorHAnsi" w:cs="Arial"/>
          <w:sz w:val="21"/>
          <w:szCs w:val="21"/>
          <w:shd w:val="clear" w:color="auto" w:fill="FFFFFF"/>
          <w:lang w:val="es-MX"/>
        </w:rPr>
        <w:t>PDFServlet?archivo</w:t>
      </w:r>
      <w:proofErr w:type="spellEnd"/>
      <w:r w:rsidRPr="004647EE">
        <w:rPr>
          <w:rFonts w:asciiTheme="minorHAnsi" w:hAnsiTheme="minorHAnsi" w:cs="Arial"/>
          <w:sz w:val="21"/>
          <w:szCs w:val="21"/>
          <w:shd w:val="clear" w:color="auto" w:fill="FFFFFF"/>
          <w:lang w:val="es-MX"/>
        </w:rPr>
        <w:t>=091893...09189</w:t>
      </w:r>
    </w:p>
    <w:p w:rsidR="005C0C7A" w:rsidRDefault="005C0C7A" w:rsidP="005C0C7A">
      <w:pPr>
        <w:pStyle w:val="Prrafodelista"/>
        <w:rPr>
          <w:sz w:val="21"/>
          <w:szCs w:val="21"/>
          <w:lang w:val="es-ES_tradnl"/>
        </w:rPr>
      </w:pPr>
    </w:p>
    <w:p w:rsidR="005C0C7A" w:rsidRPr="008D7834" w:rsidRDefault="005C0C7A" w:rsidP="005C0C7A">
      <w:pPr>
        <w:pStyle w:val="Sinespaciado"/>
        <w:ind w:left="720"/>
        <w:rPr>
          <w:rFonts w:asciiTheme="minorHAnsi" w:hAnsiTheme="minorHAnsi"/>
          <w:sz w:val="21"/>
          <w:szCs w:val="21"/>
          <w:lang w:val="es-ES_tradnl"/>
        </w:rPr>
      </w:pPr>
    </w:p>
    <w:p w:rsidR="00952A86" w:rsidRPr="004647EE" w:rsidRDefault="00952A86" w:rsidP="00952A86">
      <w:pPr>
        <w:pStyle w:val="Sinespaciado"/>
        <w:contextualSpacing/>
        <w:jc w:val="both"/>
        <w:rPr>
          <w:rFonts w:asciiTheme="minorHAnsi" w:hAnsiTheme="minorHAnsi"/>
          <w:sz w:val="21"/>
          <w:szCs w:val="21"/>
          <w:lang w:val="es-MX"/>
        </w:rPr>
      </w:pPr>
    </w:p>
    <w:p w:rsidR="00952A86" w:rsidRPr="004647EE" w:rsidRDefault="00952A86" w:rsidP="00952A86">
      <w:pPr>
        <w:pStyle w:val="Sinespaciado"/>
        <w:numPr>
          <w:ilvl w:val="0"/>
          <w:numId w:val="11"/>
        </w:numPr>
        <w:contextualSpacing/>
        <w:jc w:val="both"/>
        <w:rPr>
          <w:rFonts w:asciiTheme="minorHAnsi" w:hAnsiTheme="minorHAnsi"/>
          <w:sz w:val="21"/>
          <w:szCs w:val="21"/>
          <w:lang w:val="es-MX"/>
        </w:rPr>
      </w:pPr>
      <w:r w:rsidRPr="004647EE">
        <w:rPr>
          <w:rFonts w:asciiTheme="minorHAnsi" w:hAnsiTheme="minorHAnsi"/>
          <w:sz w:val="21"/>
          <w:szCs w:val="21"/>
          <w:lang w:val="es-MX"/>
        </w:rPr>
        <w:lastRenderedPageBreak/>
        <w:t xml:space="preserve">MARTÍNEZ, Everardo. (2015, septiembre 24). Ferrocarriles suben potencia por mayor demanda de carga. El Financiero. Recuperado el 16 de diciembre de 2015, de: http://www.elfinanciero.com.mx/empresas/ferrocarriles-suben-potencia-por-mayor-demanda-de-carga.html </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POSADA, Miriam. (2015, mayo 28). Ferrocarril, clave para México en impulso de plataforma logística. La Jornada en Línea. Recuperado el 18 de octubre de 2015, de: http://www.jornada.unam.mx/ultimas/2015/05/28/ferrocarril-clave-para-mexico-en-impulso-de-plataforma-logistica-9956.html</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RUIZ, Carlos. (1999). Comunicaciones y transportes: sector estratégico para una política de Estado. En: Comercio Exterior. Abril de 1999. Recuperado el 1º. de octubre de 2015, de: http://revistas.bancomext.gob.mx/rce/magazines/281/6/RCE6.pdf</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rPr>
          <w:rFonts w:asciiTheme="minorHAnsi" w:hAnsiTheme="minorHAnsi"/>
          <w:sz w:val="21"/>
          <w:szCs w:val="21"/>
          <w:lang w:val="es-ES_tradnl"/>
        </w:rPr>
      </w:pPr>
      <w:r w:rsidRPr="008D7834">
        <w:rPr>
          <w:rFonts w:asciiTheme="minorHAnsi" w:hAnsiTheme="minorHAnsi"/>
          <w:sz w:val="21"/>
          <w:szCs w:val="21"/>
          <w:lang w:val="es-ES_tradnl"/>
        </w:rPr>
        <w:t>SECRETARÍA DE COMUNICACIONES Y TRANSPORTES (SCT)/ DIRECCIÓN GENERAL DE TRANSPORTE FERROVIARIO MULTIMODAL. (DGTFM). Anuario Estadístico Ferroviario. Varios años. Recuperado el 19 de mayo de 2016, de: http://www.sct.gob.mx/transporte-y-medicina-preventiva/transporte-ferroviario-y-multimodal/anuarios-dgtfm-edicion-digital/</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rPr>
          <w:rFonts w:asciiTheme="minorHAnsi" w:hAnsiTheme="minorHAnsi"/>
          <w:sz w:val="21"/>
          <w:szCs w:val="21"/>
          <w:lang w:val="es-ES_tradnl"/>
        </w:rPr>
      </w:pPr>
      <w:r w:rsidRPr="008D7834">
        <w:rPr>
          <w:rFonts w:asciiTheme="minorHAnsi" w:hAnsiTheme="minorHAnsi"/>
          <w:sz w:val="21"/>
          <w:szCs w:val="21"/>
          <w:lang w:val="es-ES_tradnl"/>
        </w:rPr>
        <w:t>SCT-FIT. (2006). Libro Blanco. Libramiento Ferroviario de Tehuantepec.</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rPr>
          <w:rFonts w:asciiTheme="minorHAnsi" w:hAnsiTheme="minorHAnsi"/>
          <w:sz w:val="21"/>
          <w:szCs w:val="21"/>
          <w:lang w:val="es-ES_tradnl"/>
        </w:rPr>
      </w:pPr>
      <w:r w:rsidRPr="008D7834">
        <w:rPr>
          <w:rFonts w:asciiTheme="minorHAnsi" w:hAnsiTheme="minorHAnsi"/>
          <w:sz w:val="21"/>
          <w:szCs w:val="21"/>
          <w:lang w:val="es-ES_tradnl"/>
        </w:rPr>
        <w:t>SCT. (2014). Principales Estadísticas del Sector Comunicaciones y Transportes. Recuperado el 23 de mayo de 2015, de: http://www.sct.gob.mx/fileadmin/DireccionesGrales/DGP/estadistica/Principales-Estadisticas/PE-2014.pdf</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SEGOB. (2014). Programa Nacional de Infraestructura 2014-2018. Recuperado el 29 de septiembre de 2015, de: http://www.dof.gob.mx/nota_detalle.php?codigo=5342547&amp;fecha=29/04/2014 y en: http://presidencia.gob.mx/pni/consulta.php?c=1</w:t>
      </w:r>
    </w:p>
    <w:p w:rsidR="00952A86" w:rsidRPr="008D7834" w:rsidRDefault="00952A86" w:rsidP="00952A86">
      <w:pPr>
        <w:pStyle w:val="Sinespaciado"/>
        <w:jc w:val="both"/>
        <w:rPr>
          <w:rFonts w:asciiTheme="minorHAnsi" w:hAnsiTheme="minorHAnsi"/>
          <w:sz w:val="21"/>
          <w:szCs w:val="21"/>
          <w:lang w:val="es-ES_tradnl"/>
        </w:rPr>
      </w:pPr>
    </w:p>
    <w:p w:rsidR="00952A86" w:rsidRPr="008D7834" w:rsidRDefault="00952A86" w:rsidP="00952A86">
      <w:pPr>
        <w:pStyle w:val="Sinespaciado"/>
        <w:numPr>
          <w:ilvl w:val="0"/>
          <w:numId w:val="11"/>
        </w:numPr>
        <w:jc w:val="both"/>
        <w:rPr>
          <w:rFonts w:asciiTheme="minorHAnsi" w:hAnsiTheme="minorHAnsi"/>
          <w:sz w:val="21"/>
          <w:szCs w:val="21"/>
          <w:lang w:val="es-ES_tradnl"/>
        </w:rPr>
      </w:pPr>
      <w:r w:rsidRPr="008D7834">
        <w:rPr>
          <w:rFonts w:asciiTheme="minorHAnsi" w:hAnsiTheme="minorHAnsi"/>
          <w:sz w:val="21"/>
          <w:szCs w:val="21"/>
          <w:lang w:val="es-ES_tradnl"/>
        </w:rPr>
        <w:t>SEGOB. (2013). Plan Nacional de Desarrollo 2013-2018. Recuperado el 25 de septiembre de 2015, de: http://www.dof.gob.mx/nota_detalle.php?codigo=5299465&amp;fecha=20/05/2013 y en: http://www.sev.gob.mx/educacion-tecnologica/files/2013/05/PND_2013_2018.pdf</w:t>
      </w:r>
    </w:p>
    <w:p w:rsidR="00952A86" w:rsidRPr="0081296F" w:rsidRDefault="00952A86" w:rsidP="00952A86">
      <w:pPr>
        <w:pStyle w:val="Sinespaciado"/>
        <w:spacing w:line="276" w:lineRule="auto"/>
        <w:jc w:val="both"/>
        <w:rPr>
          <w:rFonts w:ascii="Trebuchet MS" w:hAnsi="Trebuchet MS"/>
          <w:color w:val="808080"/>
          <w:sz w:val="21"/>
          <w:szCs w:val="21"/>
          <w:lang w:val="es-ES_tradnl"/>
        </w:rPr>
      </w:pPr>
    </w:p>
    <w:p w:rsidR="00952A86" w:rsidRPr="00F0114B" w:rsidRDefault="00952A86" w:rsidP="00952A86">
      <w:pPr>
        <w:rPr>
          <w:b/>
          <w:sz w:val="24"/>
          <w:lang w:val="es-ES_tradnl"/>
        </w:rPr>
      </w:pPr>
      <w:bookmarkStart w:id="113" w:name="_Toc441950090"/>
      <w:r w:rsidRPr="00F0114B">
        <w:rPr>
          <w:b/>
          <w:sz w:val="24"/>
          <w:lang w:val="es-ES_tradnl"/>
        </w:rPr>
        <w:t>Sitios Web</w:t>
      </w:r>
      <w:bookmarkEnd w:id="113"/>
    </w:p>
    <w:p w:rsidR="00952A86" w:rsidRPr="008D7834" w:rsidRDefault="00952A86" w:rsidP="00952A86">
      <w:pPr>
        <w:pStyle w:val="Sinespaciado"/>
        <w:numPr>
          <w:ilvl w:val="0"/>
          <w:numId w:val="12"/>
        </w:numPr>
        <w:spacing w:line="276" w:lineRule="auto"/>
        <w:jc w:val="both"/>
        <w:rPr>
          <w:rFonts w:ascii="Trebuchet MS" w:hAnsi="Trebuchet MS"/>
          <w:sz w:val="21"/>
          <w:szCs w:val="21"/>
          <w:lang w:val="es-ES_tradnl"/>
        </w:rPr>
      </w:pPr>
      <w:r w:rsidRPr="008D7834">
        <w:rPr>
          <w:rFonts w:ascii="Trebuchet MS" w:hAnsi="Trebuchet MS"/>
          <w:i/>
          <w:sz w:val="21"/>
          <w:szCs w:val="21"/>
          <w:lang w:val="es-ES_tradnl"/>
        </w:rPr>
        <w:t>Cuenta de la Hacienda Pública Federal.</w:t>
      </w:r>
      <w:r w:rsidR="005C0C7A">
        <w:rPr>
          <w:rFonts w:ascii="Trebuchet MS" w:hAnsi="Trebuchet MS"/>
          <w:sz w:val="21"/>
          <w:szCs w:val="21"/>
          <w:lang w:val="es-ES_tradnl"/>
        </w:rPr>
        <w:t xml:space="preserve"> Años 2008, 2009, 2010 y 2011</w:t>
      </w:r>
      <w:r w:rsidRPr="008D7834">
        <w:rPr>
          <w:rFonts w:ascii="Trebuchet MS" w:hAnsi="Trebuchet MS"/>
          <w:sz w:val="21"/>
          <w:szCs w:val="21"/>
          <w:lang w:val="es-ES_tradnl"/>
        </w:rPr>
        <w:t xml:space="preserve">. </w:t>
      </w:r>
    </w:p>
    <w:p w:rsidR="00952A86" w:rsidRPr="008D7834" w:rsidRDefault="00952A86" w:rsidP="00952A86">
      <w:pPr>
        <w:pStyle w:val="Sinespaciado"/>
        <w:numPr>
          <w:ilvl w:val="0"/>
          <w:numId w:val="12"/>
        </w:numPr>
        <w:spacing w:line="276" w:lineRule="auto"/>
        <w:jc w:val="both"/>
        <w:rPr>
          <w:rFonts w:ascii="Trebuchet MS" w:hAnsi="Trebuchet MS"/>
          <w:sz w:val="21"/>
          <w:szCs w:val="21"/>
          <w:lang w:val="es-ES_tradnl"/>
        </w:rPr>
      </w:pPr>
      <w:r w:rsidRPr="008D7834">
        <w:rPr>
          <w:rFonts w:ascii="Trebuchet MS" w:hAnsi="Trebuchet MS"/>
          <w:sz w:val="21"/>
          <w:szCs w:val="21"/>
          <w:lang w:val="es-ES_tradnl"/>
        </w:rPr>
        <w:t>Disponibles en: http://finanzaspublicas.hacienda.gob.mx/es/Finanzas_Publicas/Cuenta_Publica</w:t>
      </w:r>
    </w:p>
    <w:p w:rsidR="00952A86" w:rsidRDefault="00952A86" w:rsidP="00952A86">
      <w:pPr>
        <w:pStyle w:val="Sinespaciado"/>
        <w:spacing w:line="276" w:lineRule="auto"/>
        <w:jc w:val="both"/>
        <w:rPr>
          <w:rFonts w:ascii="Trebuchet MS" w:hAnsi="Trebuchet MS"/>
          <w:color w:val="808080"/>
          <w:sz w:val="21"/>
          <w:szCs w:val="21"/>
          <w:lang w:val="es-ES_tradnl"/>
        </w:rPr>
      </w:pPr>
    </w:p>
    <w:p w:rsidR="00952A86" w:rsidRDefault="00952A86" w:rsidP="00952A86">
      <w:pPr>
        <w:pStyle w:val="Sinespaciado"/>
        <w:spacing w:line="276" w:lineRule="auto"/>
        <w:jc w:val="both"/>
        <w:rPr>
          <w:rFonts w:ascii="Trebuchet MS" w:hAnsi="Trebuchet MS"/>
          <w:color w:val="808080"/>
          <w:sz w:val="21"/>
          <w:szCs w:val="21"/>
          <w:lang w:val="es-ES_tradnl"/>
        </w:rPr>
      </w:pPr>
    </w:p>
    <w:p w:rsidR="00952A86" w:rsidRDefault="00952A86" w:rsidP="00952A86">
      <w:pPr>
        <w:pStyle w:val="Sinespaciado"/>
        <w:spacing w:line="276" w:lineRule="auto"/>
        <w:jc w:val="both"/>
        <w:rPr>
          <w:rFonts w:ascii="Trebuchet MS" w:hAnsi="Trebuchet MS"/>
          <w:color w:val="808080"/>
          <w:sz w:val="21"/>
          <w:szCs w:val="21"/>
          <w:lang w:val="es-ES_tradnl"/>
        </w:rPr>
      </w:pPr>
    </w:p>
    <w:p w:rsidR="00CF6875" w:rsidRDefault="00CF6875" w:rsidP="00952A86">
      <w:pPr>
        <w:pStyle w:val="Sinespaciado"/>
        <w:spacing w:line="276" w:lineRule="auto"/>
        <w:jc w:val="both"/>
        <w:rPr>
          <w:rFonts w:ascii="Trebuchet MS" w:hAnsi="Trebuchet MS"/>
          <w:color w:val="808080"/>
          <w:sz w:val="21"/>
          <w:szCs w:val="21"/>
          <w:lang w:val="es-ES_tradnl"/>
        </w:rPr>
      </w:pPr>
    </w:p>
    <w:p w:rsidR="00CF6875" w:rsidRDefault="00CF6875" w:rsidP="00952A86">
      <w:pPr>
        <w:pStyle w:val="Sinespaciado"/>
        <w:spacing w:line="276" w:lineRule="auto"/>
        <w:jc w:val="both"/>
        <w:rPr>
          <w:rFonts w:ascii="Trebuchet MS" w:hAnsi="Trebuchet MS"/>
          <w:color w:val="808080"/>
          <w:sz w:val="21"/>
          <w:szCs w:val="21"/>
          <w:lang w:val="es-ES_tradnl"/>
        </w:rPr>
      </w:pPr>
    </w:p>
    <w:p w:rsidR="00CF6875" w:rsidRDefault="00CF6875" w:rsidP="00952A86">
      <w:pPr>
        <w:pStyle w:val="Sinespaciado"/>
        <w:spacing w:line="276" w:lineRule="auto"/>
        <w:jc w:val="both"/>
        <w:rPr>
          <w:rFonts w:ascii="Trebuchet MS" w:hAnsi="Trebuchet MS"/>
          <w:color w:val="808080"/>
          <w:sz w:val="21"/>
          <w:szCs w:val="21"/>
          <w:lang w:val="es-ES_tradnl"/>
        </w:rPr>
      </w:pPr>
    </w:p>
    <w:p w:rsidR="00CF6875" w:rsidRDefault="00CF6875" w:rsidP="00952A86">
      <w:pPr>
        <w:pStyle w:val="Sinespaciado"/>
        <w:spacing w:line="276" w:lineRule="auto"/>
        <w:jc w:val="both"/>
        <w:rPr>
          <w:rFonts w:ascii="Trebuchet MS" w:hAnsi="Trebuchet MS"/>
          <w:color w:val="808080"/>
          <w:sz w:val="21"/>
          <w:szCs w:val="21"/>
          <w:lang w:val="es-ES_tradnl"/>
        </w:rPr>
      </w:pPr>
    </w:p>
    <w:p w:rsidR="00F0114B" w:rsidRDefault="00F0114B" w:rsidP="00952A86">
      <w:pPr>
        <w:pStyle w:val="Sinespaciado"/>
        <w:spacing w:line="276" w:lineRule="auto"/>
        <w:jc w:val="both"/>
        <w:rPr>
          <w:rFonts w:ascii="Trebuchet MS" w:hAnsi="Trebuchet MS"/>
          <w:color w:val="808080"/>
          <w:sz w:val="21"/>
          <w:szCs w:val="21"/>
          <w:lang w:val="es-ES_tradnl"/>
        </w:rPr>
      </w:pPr>
    </w:p>
    <w:p w:rsidR="00952A86" w:rsidRPr="00283CCF" w:rsidRDefault="00952A86" w:rsidP="00952A86">
      <w:pPr>
        <w:pStyle w:val="Sinespaciado"/>
        <w:spacing w:line="276" w:lineRule="auto"/>
        <w:jc w:val="both"/>
        <w:rPr>
          <w:rFonts w:ascii="Trebuchet MS" w:hAnsi="Trebuchet MS"/>
          <w:color w:val="808080"/>
          <w:sz w:val="21"/>
          <w:szCs w:val="21"/>
          <w:lang w:val="es-ES_tradnl"/>
        </w:rPr>
      </w:pPr>
    </w:p>
    <w:p w:rsidR="00952A86" w:rsidRPr="00742001" w:rsidRDefault="00952A86" w:rsidP="00952A86">
      <w:pPr>
        <w:pStyle w:val="Textoindependiente"/>
        <w:tabs>
          <w:tab w:val="left" w:pos="1080"/>
        </w:tabs>
        <w:spacing w:after="0"/>
        <w:jc w:val="both"/>
        <w:rPr>
          <w:rFonts w:asciiTheme="minorHAnsi" w:eastAsia="Calibri" w:hAnsiTheme="minorHAnsi" w:cstheme="minorHAnsi"/>
          <w:color w:val="808080"/>
          <w:sz w:val="2"/>
          <w:szCs w:val="2"/>
          <w:lang w:val="es-MX" w:eastAsia="en-US"/>
        </w:rPr>
      </w:pPr>
    </w:p>
    <w:tbl>
      <w:tblPr>
        <w:tblW w:w="5000" w:type="pct"/>
        <w:tblCellMar>
          <w:left w:w="70" w:type="dxa"/>
          <w:right w:w="70" w:type="dxa"/>
        </w:tblCellMar>
        <w:tblLook w:val="04A0" w:firstRow="1" w:lastRow="0" w:firstColumn="1" w:lastColumn="0" w:noHBand="0" w:noVBand="1"/>
      </w:tblPr>
      <w:tblGrid>
        <w:gridCol w:w="7503"/>
        <w:gridCol w:w="1701"/>
      </w:tblGrid>
      <w:tr w:rsidR="00952A86" w:rsidRPr="00742001" w:rsidTr="00F0114B">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C00000"/>
            <w:vAlign w:val="center"/>
            <w:hideMark/>
          </w:tcPr>
          <w:p w:rsidR="00952A86" w:rsidRDefault="00952A86" w:rsidP="007D485F">
            <w:pPr>
              <w:spacing w:after="0" w:line="240" w:lineRule="auto"/>
              <w:jc w:val="center"/>
              <w:rPr>
                <w:rFonts w:cstheme="minorHAnsi"/>
                <w:b/>
                <w:bCs/>
                <w:color w:val="FFFFFF" w:themeColor="background1"/>
                <w:sz w:val="28"/>
                <w:szCs w:val="28"/>
                <w:lang w:eastAsia="es-MX"/>
              </w:rPr>
            </w:pPr>
            <w:r>
              <w:rPr>
                <w:rFonts w:cstheme="minorHAnsi"/>
                <w:b/>
                <w:bCs/>
                <w:color w:val="FFFFFF" w:themeColor="background1"/>
                <w:sz w:val="28"/>
                <w:szCs w:val="28"/>
                <w:lang w:eastAsia="es-MX"/>
              </w:rPr>
              <w:lastRenderedPageBreak/>
              <w:t>Responsable</w:t>
            </w:r>
            <w:r w:rsidRPr="00566BDB">
              <w:rPr>
                <w:rFonts w:cstheme="minorHAnsi"/>
                <w:b/>
                <w:bCs/>
                <w:color w:val="FFFFFF" w:themeColor="background1"/>
                <w:sz w:val="28"/>
                <w:szCs w:val="28"/>
                <w:lang w:eastAsia="es-MX"/>
              </w:rPr>
              <w:t xml:space="preserve"> de la Información</w:t>
            </w:r>
            <w:r>
              <w:rPr>
                <w:rFonts w:cstheme="minorHAnsi"/>
                <w:b/>
                <w:bCs/>
                <w:color w:val="FFFFFF" w:themeColor="background1"/>
                <w:sz w:val="28"/>
                <w:szCs w:val="28"/>
                <w:lang w:eastAsia="es-MX"/>
              </w:rPr>
              <w:t>:</w:t>
            </w:r>
          </w:p>
          <w:p w:rsidR="00952A86" w:rsidRPr="00566BDB" w:rsidRDefault="00952A86" w:rsidP="007D485F">
            <w:pPr>
              <w:spacing w:after="0" w:line="240" w:lineRule="auto"/>
              <w:jc w:val="center"/>
              <w:rPr>
                <w:rFonts w:cstheme="minorHAnsi"/>
                <w:b/>
                <w:bCs/>
                <w:color w:val="FFFFFF" w:themeColor="background1"/>
                <w:sz w:val="28"/>
                <w:szCs w:val="28"/>
                <w:lang w:eastAsia="es-MX"/>
              </w:rPr>
            </w:pPr>
            <w:r>
              <w:rPr>
                <w:rFonts w:cstheme="minorHAnsi"/>
                <w:b/>
                <w:bCs/>
                <w:color w:val="FFFFFF" w:themeColor="background1"/>
                <w:sz w:val="28"/>
                <w:szCs w:val="28"/>
                <w:lang w:eastAsia="es-MX"/>
              </w:rPr>
              <w:t xml:space="preserve"> Ferrocarril del Istmo de Tehuantepec, S.A. de C.V,</w:t>
            </w:r>
          </w:p>
        </w:tc>
      </w:tr>
      <w:tr w:rsidR="00952A86" w:rsidRPr="00742001" w:rsidTr="00CF6875">
        <w:trPr>
          <w:trHeight w:val="315"/>
        </w:trPr>
        <w:tc>
          <w:tcPr>
            <w:tcW w:w="5000" w:type="pct"/>
            <w:gridSpan w:val="2"/>
            <w:tcBorders>
              <w:top w:val="single" w:sz="4" w:space="0" w:color="auto"/>
              <w:left w:val="nil"/>
              <w:bottom w:val="nil"/>
              <w:right w:val="nil"/>
            </w:tcBorders>
            <w:shd w:val="clear" w:color="000000" w:fill="FFFFFF"/>
            <w:noWrap/>
            <w:vAlign w:val="bottom"/>
            <w:hideMark/>
          </w:tcPr>
          <w:p w:rsidR="00952A86" w:rsidRPr="00742001" w:rsidRDefault="00952A86" w:rsidP="007D485F">
            <w:pPr>
              <w:spacing w:after="0" w:line="240" w:lineRule="auto"/>
              <w:rPr>
                <w:rFonts w:cstheme="minorHAnsi"/>
                <w:color w:val="000000"/>
                <w:sz w:val="28"/>
                <w:szCs w:val="28"/>
                <w:lang w:eastAsia="es-MX"/>
              </w:rPr>
            </w:pPr>
            <w:r w:rsidRPr="00742001">
              <w:rPr>
                <w:rFonts w:cstheme="minorHAnsi"/>
                <w:color w:val="000000"/>
                <w:sz w:val="28"/>
                <w:szCs w:val="28"/>
                <w:lang w:eastAsia="es-MX"/>
              </w:rPr>
              <w:t>  </w:t>
            </w:r>
          </w:p>
        </w:tc>
      </w:tr>
      <w:tr w:rsidR="00952A86" w:rsidRPr="00742001" w:rsidTr="007D485F">
        <w:trPr>
          <w:trHeight w:val="315"/>
        </w:trPr>
        <w:tc>
          <w:tcPr>
            <w:tcW w:w="4076" w:type="pct"/>
            <w:tcBorders>
              <w:top w:val="nil"/>
              <w:left w:val="nil"/>
              <w:bottom w:val="nil"/>
              <w:right w:val="nil"/>
            </w:tcBorders>
            <w:shd w:val="clear" w:color="000000" w:fill="FFFFFF"/>
            <w:noWrap/>
            <w:vAlign w:val="bottom"/>
            <w:hideMark/>
          </w:tcPr>
          <w:p w:rsidR="00952A86" w:rsidRDefault="00952A86" w:rsidP="007D485F">
            <w:pPr>
              <w:spacing w:after="0" w:line="240" w:lineRule="auto"/>
              <w:rPr>
                <w:rFonts w:cstheme="minorHAnsi"/>
                <w:b/>
                <w:bCs/>
                <w:color w:val="000000"/>
                <w:sz w:val="28"/>
                <w:szCs w:val="28"/>
                <w:lang w:eastAsia="es-MX"/>
              </w:rPr>
            </w:pPr>
            <w:r w:rsidRPr="00742001">
              <w:rPr>
                <w:rFonts w:cstheme="minorHAnsi"/>
                <w:b/>
                <w:bCs/>
                <w:color w:val="000000"/>
                <w:sz w:val="28"/>
                <w:szCs w:val="28"/>
                <w:lang w:eastAsia="es-MX"/>
              </w:rPr>
              <w:t>Área Responsable:</w:t>
            </w:r>
            <w:r>
              <w:rPr>
                <w:rFonts w:cstheme="minorHAnsi"/>
                <w:b/>
                <w:bCs/>
                <w:color w:val="000000"/>
                <w:sz w:val="28"/>
                <w:szCs w:val="28"/>
                <w:lang w:eastAsia="es-MX"/>
              </w:rPr>
              <w:t xml:space="preserve"> Dirección General</w:t>
            </w:r>
          </w:p>
          <w:p w:rsidR="00952A86" w:rsidRDefault="00952A86" w:rsidP="007D485F">
            <w:pPr>
              <w:spacing w:after="0" w:line="240" w:lineRule="auto"/>
              <w:rPr>
                <w:rFonts w:cstheme="minorHAnsi"/>
                <w:b/>
                <w:bCs/>
                <w:color w:val="000000"/>
                <w:sz w:val="28"/>
                <w:szCs w:val="28"/>
                <w:lang w:eastAsia="es-MX"/>
              </w:rPr>
            </w:pPr>
          </w:p>
          <w:p w:rsidR="00952A86" w:rsidRPr="00742001" w:rsidRDefault="00952A86" w:rsidP="007D485F">
            <w:pPr>
              <w:spacing w:after="0" w:line="240" w:lineRule="auto"/>
              <w:rPr>
                <w:rFonts w:cstheme="minorHAnsi"/>
                <w:b/>
                <w:bCs/>
                <w:color w:val="000000"/>
                <w:sz w:val="28"/>
                <w:szCs w:val="28"/>
                <w:lang w:eastAsia="es-MX"/>
              </w:rPr>
            </w:pPr>
            <w:r>
              <w:rPr>
                <w:rFonts w:cstheme="minorHAnsi"/>
                <w:b/>
                <w:bCs/>
                <w:color w:val="000000"/>
                <w:sz w:val="28"/>
                <w:szCs w:val="28"/>
                <w:lang w:eastAsia="es-MX"/>
              </w:rPr>
              <w:t>Datos del Administrador de la obra: Subdirección de Operación</w:t>
            </w:r>
          </w:p>
        </w:tc>
        <w:tc>
          <w:tcPr>
            <w:tcW w:w="924" w:type="pct"/>
            <w:tcBorders>
              <w:top w:val="nil"/>
              <w:left w:val="nil"/>
              <w:bottom w:val="nil"/>
              <w:right w:val="nil"/>
            </w:tcBorders>
            <w:shd w:val="clear" w:color="000000" w:fill="FFFFFF"/>
            <w:vAlign w:val="bottom"/>
          </w:tcPr>
          <w:p w:rsidR="00952A86" w:rsidRPr="00742001" w:rsidRDefault="00952A86" w:rsidP="007D485F">
            <w:pPr>
              <w:spacing w:after="0" w:line="240" w:lineRule="auto"/>
              <w:rPr>
                <w:rFonts w:cstheme="minorHAnsi"/>
                <w:color w:val="000000"/>
                <w:sz w:val="28"/>
                <w:szCs w:val="28"/>
                <w:lang w:eastAsia="es-MX"/>
              </w:rPr>
            </w:pPr>
            <w:r w:rsidRPr="00742001">
              <w:rPr>
                <w:rFonts w:cstheme="minorHAnsi"/>
                <w:color w:val="000000"/>
                <w:sz w:val="28"/>
                <w:szCs w:val="28"/>
                <w:lang w:eastAsia="es-MX"/>
              </w:rPr>
              <w:t>  </w:t>
            </w:r>
          </w:p>
        </w:tc>
      </w:tr>
    </w:tbl>
    <w:p w:rsidR="00952A86" w:rsidRPr="00742001" w:rsidRDefault="00952A86" w:rsidP="00952A86">
      <w:pPr>
        <w:spacing w:after="0" w:line="240" w:lineRule="auto"/>
        <w:rPr>
          <w:rFonts w:cstheme="minorHAnsi"/>
          <w:color w:val="808080"/>
          <w:sz w:val="28"/>
          <w:szCs w:val="28"/>
        </w:rPr>
      </w:pPr>
    </w:p>
    <w:tbl>
      <w:tblPr>
        <w:tblW w:w="4886" w:type="pct"/>
        <w:tblCellMar>
          <w:left w:w="70" w:type="dxa"/>
          <w:right w:w="70" w:type="dxa"/>
        </w:tblCellMar>
        <w:tblLook w:val="04A0" w:firstRow="1" w:lastRow="0" w:firstColumn="1" w:lastColumn="0" w:noHBand="0" w:noVBand="1"/>
      </w:tblPr>
      <w:tblGrid>
        <w:gridCol w:w="3364"/>
        <w:gridCol w:w="2198"/>
        <w:gridCol w:w="1784"/>
        <w:gridCol w:w="1648"/>
      </w:tblGrid>
      <w:tr w:rsidR="00952A86" w:rsidRPr="00742001" w:rsidTr="00F0114B">
        <w:trPr>
          <w:trHeight w:val="315"/>
        </w:trPr>
        <w:tc>
          <w:tcPr>
            <w:tcW w:w="1870" w:type="pct"/>
            <w:tcBorders>
              <w:top w:val="single" w:sz="4" w:space="0" w:color="auto"/>
              <w:left w:val="single" w:sz="4" w:space="0" w:color="auto"/>
              <w:bottom w:val="single" w:sz="4" w:space="0" w:color="auto"/>
              <w:right w:val="single" w:sz="4" w:space="0" w:color="auto"/>
            </w:tcBorders>
            <w:shd w:val="clear" w:color="auto" w:fill="C00000"/>
            <w:vAlign w:val="center"/>
            <w:hideMark/>
          </w:tcPr>
          <w:p w:rsidR="00952A86" w:rsidRPr="00566BDB" w:rsidRDefault="00952A86" w:rsidP="007D485F">
            <w:pPr>
              <w:spacing w:after="0" w:line="240" w:lineRule="auto"/>
              <w:jc w:val="center"/>
              <w:rPr>
                <w:rFonts w:cstheme="minorHAnsi"/>
                <w:b/>
                <w:bCs/>
                <w:color w:val="FFFFFF" w:themeColor="background1"/>
                <w:sz w:val="28"/>
                <w:szCs w:val="28"/>
                <w:lang w:eastAsia="es-MX"/>
              </w:rPr>
            </w:pPr>
            <w:r w:rsidRPr="00566BDB">
              <w:rPr>
                <w:rFonts w:cstheme="minorHAnsi"/>
                <w:b/>
                <w:bCs/>
                <w:color w:val="FFFFFF" w:themeColor="background1"/>
                <w:sz w:val="28"/>
                <w:szCs w:val="28"/>
                <w:lang w:eastAsia="es-MX"/>
              </w:rPr>
              <w:t>Nombre</w:t>
            </w:r>
          </w:p>
        </w:tc>
        <w:tc>
          <w:tcPr>
            <w:tcW w:w="1222" w:type="pct"/>
            <w:tcBorders>
              <w:top w:val="single" w:sz="4" w:space="0" w:color="auto"/>
              <w:left w:val="nil"/>
              <w:bottom w:val="single" w:sz="4" w:space="0" w:color="auto"/>
              <w:right w:val="single" w:sz="4" w:space="0" w:color="auto"/>
            </w:tcBorders>
            <w:shd w:val="clear" w:color="auto" w:fill="C00000"/>
            <w:vAlign w:val="center"/>
            <w:hideMark/>
          </w:tcPr>
          <w:p w:rsidR="00952A86" w:rsidRPr="00566BDB" w:rsidRDefault="00952A86" w:rsidP="007D485F">
            <w:pPr>
              <w:spacing w:after="0" w:line="240" w:lineRule="auto"/>
              <w:jc w:val="center"/>
              <w:rPr>
                <w:rFonts w:cstheme="minorHAnsi"/>
                <w:b/>
                <w:bCs/>
                <w:color w:val="FFFFFF" w:themeColor="background1"/>
                <w:sz w:val="28"/>
                <w:szCs w:val="28"/>
                <w:lang w:eastAsia="es-MX"/>
              </w:rPr>
            </w:pPr>
            <w:r w:rsidRPr="00566BDB">
              <w:rPr>
                <w:rFonts w:cstheme="minorHAnsi"/>
                <w:b/>
                <w:bCs/>
                <w:color w:val="FFFFFF" w:themeColor="background1"/>
                <w:sz w:val="28"/>
                <w:szCs w:val="28"/>
                <w:lang w:eastAsia="es-MX"/>
              </w:rPr>
              <w:t>Cargo</w:t>
            </w:r>
            <w:r>
              <w:rPr>
                <w:rFonts w:cstheme="minorHAnsi"/>
                <w:b/>
                <w:bCs/>
                <w:color w:val="FFFFFF" w:themeColor="background1"/>
                <w:sz w:val="28"/>
                <w:szCs w:val="28"/>
                <w:lang w:eastAsia="es-MX"/>
              </w:rPr>
              <w:t>*</w:t>
            </w:r>
          </w:p>
        </w:tc>
        <w:tc>
          <w:tcPr>
            <w:tcW w:w="992" w:type="pct"/>
            <w:tcBorders>
              <w:top w:val="single" w:sz="4" w:space="0" w:color="auto"/>
              <w:left w:val="nil"/>
              <w:bottom w:val="single" w:sz="4" w:space="0" w:color="auto"/>
              <w:right w:val="single" w:sz="4" w:space="0" w:color="auto"/>
            </w:tcBorders>
            <w:shd w:val="clear" w:color="auto" w:fill="C00000"/>
            <w:vAlign w:val="center"/>
            <w:hideMark/>
          </w:tcPr>
          <w:p w:rsidR="00952A86" w:rsidRPr="00566BDB" w:rsidRDefault="00952A86" w:rsidP="007D485F">
            <w:pPr>
              <w:spacing w:after="0" w:line="240" w:lineRule="auto"/>
              <w:jc w:val="center"/>
              <w:rPr>
                <w:rFonts w:cstheme="minorHAnsi"/>
                <w:b/>
                <w:bCs/>
                <w:color w:val="FFFFFF" w:themeColor="background1"/>
                <w:sz w:val="28"/>
                <w:szCs w:val="28"/>
                <w:lang w:eastAsia="es-MX"/>
              </w:rPr>
            </w:pPr>
            <w:r w:rsidRPr="00566BDB">
              <w:rPr>
                <w:rFonts w:cstheme="minorHAnsi"/>
                <w:b/>
                <w:bCs/>
                <w:color w:val="FFFFFF" w:themeColor="background1"/>
                <w:sz w:val="28"/>
                <w:szCs w:val="28"/>
                <w:lang w:eastAsia="es-MX"/>
              </w:rPr>
              <w:t>Firma</w:t>
            </w:r>
          </w:p>
        </w:tc>
        <w:tc>
          <w:tcPr>
            <w:tcW w:w="916" w:type="pct"/>
            <w:tcBorders>
              <w:top w:val="single" w:sz="4" w:space="0" w:color="auto"/>
              <w:left w:val="nil"/>
              <w:bottom w:val="single" w:sz="4" w:space="0" w:color="auto"/>
              <w:right w:val="single" w:sz="4" w:space="0" w:color="auto"/>
            </w:tcBorders>
            <w:shd w:val="clear" w:color="auto" w:fill="C00000"/>
            <w:vAlign w:val="center"/>
            <w:hideMark/>
          </w:tcPr>
          <w:p w:rsidR="00952A86" w:rsidRPr="00566BDB" w:rsidRDefault="00952A86" w:rsidP="007D485F">
            <w:pPr>
              <w:spacing w:after="0" w:line="240" w:lineRule="auto"/>
              <w:jc w:val="center"/>
              <w:rPr>
                <w:rFonts w:cstheme="minorHAnsi"/>
                <w:b/>
                <w:bCs/>
                <w:color w:val="FFFFFF" w:themeColor="background1"/>
                <w:sz w:val="28"/>
                <w:szCs w:val="28"/>
                <w:lang w:eastAsia="es-MX"/>
              </w:rPr>
            </w:pPr>
            <w:r w:rsidRPr="00566BDB">
              <w:rPr>
                <w:rFonts w:cstheme="minorHAnsi"/>
                <w:b/>
                <w:bCs/>
                <w:color w:val="FFFFFF" w:themeColor="background1"/>
                <w:sz w:val="28"/>
                <w:szCs w:val="28"/>
                <w:lang w:eastAsia="es-MX"/>
              </w:rPr>
              <w:t>Fecha</w:t>
            </w:r>
          </w:p>
        </w:tc>
      </w:tr>
      <w:tr w:rsidR="00952A86" w:rsidRPr="007D1264" w:rsidTr="007D485F">
        <w:trPr>
          <w:trHeight w:val="342"/>
        </w:trPr>
        <w:tc>
          <w:tcPr>
            <w:tcW w:w="1870" w:type="pct"/>
            <w:vMerge w:val="restart"/>
            <w:tcBorders>
              <w:top w:val="single" w:sz="4" w:space="0" w:color="auto"/>
              <w:left w:val="single" w:sz="4" w:space="0" w:color="auto"/>
              <w:bottom w:val="single" w:sz="4" w:space="0" w:color="auto"/>
              <w:right w:val="single" w:sz="4" w:space="0" w:color="auto"/>
            </w:tcBorders>
            <w:noWrap/>
            <w:vAlign w:val="center"/>
            <w:hideMark/>
          </w:tcPr>
          <w:p w:rsidR="00952A86" w:rsidRPr="007D1264" w:rsidRDefault="00952A86" w:rsidP="007D485F">
            <w:pPr>
              <w:spacing w:after="0" w:line="240" w:lineRule="auto"/>
              <w:jc w:val="center"/>
              <w:rPr>
                <w:rFonts w:cstheme="minorHAnsi"/>
                <w:sz w:val="24"/>
                <w:szCs w:val="24"/>
                <w:lang w:eastAsia="es-MX"/>
              </w:rPr>
            </w:pPr>
            <w:r w:rsidRPr="007D1264">
              <w:rPr>
                <w:rFonts w:cstheme="minorHAnsi"/>
                <w:sz w:val="24"/>
                <w:szCs w:val="24"/>
                <w:lang w:eastAsia="es-MX"/>
              </w:rPr>
              <w:t> </w:t>
            </w:r>
            <w:r>
              <w:rPr>
                <w:rFonts w:cstheme="minorHAnsi"/>
                <w:sz w:val="24"/>
                <w:szCs w:val="24"/>
                <w:lang w:eastAsia="es-MX"/>
              </w:rPr>
              <w:t>Ing. Gustavo Baca Villanueva</w:t>
            </w:r>
          </w:p>
        </w:tc>
        <w:tc>
          <w:tcPr>
            <w:tcW w:w="1222" w:type="pct"/>
            <w:vMerge w:val="restart"/>
            <w:tcBorders>
              <w:top w:val="single" w:sz="4" w:space="0" w:color="auto"/>
              <w:left w:val="single" w:sz="4" w:space="0" w:color="auto"/>
              <w:bottom w:val="single" w:sz="4" w:space="0" w:color="auto"/>
              <w:right w:val="single" w:sz="4" w:space="0" w:color="auto"/>
            </w:tcBorders>
            <w:noWrap/>
            <w:vAlign w:val="center"/>
            <w:hideMark/>
          </w:tcPr>
          <w:p w:rsidR="00952A86" w:rsidRPr="007D1264" w:rsidRDefault="00952A86" w:rsidP="007D485F">
            <w:pPr>
              <w:spacing w:after="0" w:line="240" w:lineRule="auto"/>
              <w:jc w:val="center"/>
              <w:rPr>
                <w:rFonts w:cstheme="minorHAnsi"/>
                <w:sz w:val="24"/>
                <w:szCs w:val="24"/>
                <w:lang w:eastAsia="es-MX"/>
              </w:rPr>
            </w:pPr>
            <w:r w:rsidRPr="007D1264">
              <w:rPr>
                <w:rFonts w:cstheme="minorHAnsi"/>
                <w:sz w:val="24"/>
                <w:szCs w:val="24"/>
                <w:lang w:eastAsia="es-MX"/>
              </w:rPr>
              <w:t> </w:t>
            </w:r>
            <w:r>
              <w:rPr>
                <w:rFonts w:cstheme="minorHAnsi"/>
                <w:sz w:val="24"/>
                <w:szCs w:val="24"/>
                <w:lang w:eastAsia="es-MX"/>
              </w:rPr>
              <w:t xml:space="preserve">Director General </w:t>
            </w:r>
          </w:p>
        </w:tc>
        <w:tc>
          <w:tcPr>
            <w:tcW w:w="992" w:type="pct"/>
            <w:vMerge w:val="restart"/>
            <w:tcBorders>
              <w:top w:val="single" w:sz="4" w:space="0" w:color="auto"/>
              <w:left w:val="single" w:sz="4" w:space="0" w:color="auto"/>
              <w:bottom w:val="single" w:sz="4" w:space="0" w:color="auto"/>
              <w:right w:val="single" w:sz="4" w:space="0" w:color="auto"/>
            </w:tcBorders>
            <w:noWrap/>
            <w:vAlign w:val="center"/>
            <w:hideMark/>
          </w:tcPr>
          <w:p w:rsidR="00952A86" w:rsidRPr="007D1264" w:rsidRDefault="00952A86" w:rsidP="007D485F">
            <w:pPr>
              <w:spacing w:after="0" w:line="240" w:lineRule="auto"/>
              <w:jc w:val="center"/>
              <w:rPr>
                <w:rFonts w:cstheme="minorHAnsi"/>
                <w:sz w:val="24"/>
                <w:szCs w:val="24"/>
                <w:lang w:eastAsia="es-MX"/>
              </w:rPr>
            </w:pPr>
            <w:r w:rsidRPr="007D1264">
              <w:rPr>
                <w:rFonts w:cstheme="minorHAnsi"/>
                <w:sz w:val="24"/>
                <w:szCs w:val="24"/>
                <w:lang w:eastAsia="es-MX"/>
              </w:rPr>
              <w:t> </w:t>
            </w:r>
          </w:p>
        </w:tc>
        <w:tc>
          <w:tcPr>
            <w:tcW w:w="916" w:type="pct"/>
            <w:vMerge w:val="restart"/>
            <w:tcBorders>
              <w:top w:val="nil"/>
              <w:left w:val="single" w:sz="4" w:space="0" w:color="auto"/>
              <w:bottom w:val="single" w:sz="4" w:space="0" w:color="auto"/>
              <w:right w:val="single" w:sz="4" w:space="0" w:color="auto"/>
            </w:tcBorders>
            <w:vAlign w:val="center"/>
            <w:hideMark/>
          </w:tcPr>
          <w:p w:rsidR="00952A86" w:rsidRPr="007D1264" w:rsidRDefault="00CF6875" w:rsidP="007D485F">
            <w:pPr>
              <w:spacing w:after="0" w:line="240" w:lineRule="auto"/>
              <w:jc w:val="center"/>
              <w:rPr>
                <w:rFonts w:cstheme="minorHAnsi"/>
                <w:sz w:val="24"/>
                <w:szCs w:val="24"/>
                <w:lang w:eastAsia="es-MX"/>
              </w:rPr>
            </w:pPr>
            <w:r>
              <w:rPr>
                <w:rFonts w:cstheme="minorHAnsi"/>
                <w:sz w:val="24"/>
                <w:szCs w:val="24"/>
                <w:lang w:eastAsia="es-MX"/>
              </w:rPr>
              <w:t>15/11/17</w:t>
            </w:r>
            <w:r w:rsidR="00952A86" w:rsidRPr="007D1264">
              <w:rPr>
                <w:rFonts w:cstheme="minorHAnsi"/>
                <w:sz w:val="24"/>
                <w:szCs w:val="24"/>
                <w:lang w:eastAsia="es-MX"/>
              </w:rPr>
              <w:t> </w:t>
            </w:r>
          </w:p>
        </w:tc>
      </w:tr>
      <w:tr w:rsidR="00952A86" w:rsidRPr="007D1264" w:rsidTr="007D485F">
        <w:trPr>
          <w:trHeight w:val="450"/>
        </w:trPr>
        <w:tc>
          <w:tcPr>
            <w:tcW w:w="1870" w:type="pct"/>
            <w:vMerge/>
            <w:tcBorders>
              <w:top w:val="single" w:sz="4" w:space="0" w:color="auto"/>
              <w:left w:val="single" w:sz="4" w:space="0" w:color="auto"/>
              <w:bottom w:val="single" w:sz="4" w:space="0" w:color="auto"/>
              <w:right w:val="single" w:sz="4" w:space="0" w:color="auto"/>
            </w:tcBorders>
            <w:vAlign w:val="center"/>
            <w:hideMark/>
          </w:tcPr>
          <w:p w:rsidR="00952A86" w:rsidRPr="007D1264" w:rsidRDefault="00952A86" w:rsidP="007D485F">
            <w:pPr>
              <w:spacing w:after="0" w:line="240" w:lineRule="auto"/>
              <w:rPr>
                <w:rFonts w:cstheme="minorHAnsi"/>
                <w:sz w:val="24"/>
                <w:szCs w:val="24"/>
                <w:lang w:eastAsia="es-MX"/>
              </w:rPr>
            </w:pPr>
          </w:p>
        </w:tc>
        <w:tc>
          <w:tcPr>
            <w:tcW w:w="1222" w:type="pct"/>
            <w:vMerge/>
            <w:tcBorders>
              <w:top w:val="single" w:sz="4" w:space="0" w:color="auto"/>
              <w:left w:val="single" w:sz="4" w:space="0" w:color="auto"/>
              <w:bottom w:val="single" w:sz="4" w:space="0" w:color="auto"/>
              <w:right w:val="single" w:sz="4" w:space="0" w:color="auto"/>
            </w:tcBorders>
            <w:vAlign w:val="center"/>
            <w:hideMark/>
          </w:tcPr>
          <w:p w:rsidR="00952A86" w:rsidRPr="007D1264" w:rsidRDefault="00952A86" w:rsidP="007D485F">
            <w:pPr>
              <w:spacing w:after="0" w:line="240" w:lineRule="auto"/>
              <w:rPr>
                <w:rFonts w:cstheme="minorHAnsi"/>
                <w:sz w:val="24"/>
                <w:szCs w:val="24"/>
                <w:lang w:eastAsia="es-MX"/>
              </w:rPr>
            </w:pPr>
          </w:p>
        </w:tc>
        <w:tc>
          <w:tcPr>
            <w:tcW w:w="992" w:type="pct"/>
            <w:vMerge/>
            <w:tcBorders>
              <w:top w:val="single" w:sz="4" w:space="0" w:color="auto"/>
              <w:left w:val="single" w:sz="4" w:space="0" w:color="auto"/>
              <w:bottom w:val="single" w:sz="4" w:space="0" w:color="auto"/>
              <w:right w:val="single" w:sz="4" w:space="0" w:color="auto"/>
            </w:tcBorders>
            <w:vAlign w:val="center"/>
            <w:hideMark/>
          </w:tcPr>
          <w:p w:rsidR="00952A86" w:rsidRPr="007D1264" w:rsidRDefault="00952A86" w:rsidP="007D485F">
            <w:pPr>
              <w:spacing w:after="0" w:line="240" w:lineRule="auto"/>
              <w:rPr>
                <w:rFonts w:cstheme="minorHAnsi"/>
                <w:sz w:val="24"/>
                <w:szCs w:val="24"/>
                <w:lang w:eastAsia="es-MX"/>
              </w:rPr>
            </w:pPr>
          </w:p>
        </w:tc>
        <w:tc>
          <w:tcPr>
            <w:tcW w:w="916" w:type="pct"/>
            <w:vMerge/>
            <w:tcBorders>
              <w:top w:val="nil"/>
              <w:left w:val="single" w:sz="4" w:space="0" w:color="auto"/>
              <w:bottom w:val="single" w:sz="4" w:space="0" w:color="auto"/>
              <w:right w:val="single" w:sz="4" w:space="0" w:color="auto"/>
            </w:tcBorders>
            <w:vAlign w:val="center"/>
            <w:hideMark/>
          </w:tcPr>
          <w:p w:rsidR="00952A86" w:rsidRPr="007D1264" w:rsidRDefault="00952A86" w:rsidP="007D485F">
            <w:pPr>
              <w:spacing w:after="0" w:line="240" w:lineRule="auto"/>
              <w:rPr>
                <w:rFonts w:cstheme="minorHAnsi"/>
                <w:sz w:val="24"/>
                <w:szCs w:val="24"/>
                <w:lang w:eastAsia="es-MX"/>
              </w:rPr>
            </w:pPr>
          </w:p>
        </w:tc>
      </w:tr>
    </w:tbl>
    <w:p w:rsidR="00952A86" w:rsidRDefault="00952A86" w:rsidP="00952A86">
      <w:pPr>
        <w:spacing w:after="0" w:line="240" w:lineRule="auto"/>
        <w:rPr>
          <w:rFonts w:cstheme="minorHAnsi"/>
          <w:color w:val="808080"/>
          <w:sz w:val="28"/>
          <w:szCs w:val="28"/>
        </w:rPr>
      </w:pPr>
    </w:p>
    <w:tbl>
      <w:tblPr>
        <w:tblW w:w="6546" w:type="dxa"/>
        <w:jc w:val="center"/>
        <w:tblCellMar>
          <w:left w:w="70" w:type="dxa"/>
          <w:right w:w="70" w:type="dxa"/>
        </w:tblCellMar>
        <w:tblLook w:val="04A0" w:firstRow="1" w:lastRow="0" w:firstColumn="1" w:lastColumn="0" w:noHBand="0" w:noVBand="1"/>
      </w:tblPr>
      <w:tblGrid>
        <w:gridCol w:w="3200"/>
        <w:gridCol w:w="146"/>
        <w:gridCol w:w="3200"/>
      </w:tblGrid>
      <w:tr w:rsidR="00952A86" w:rsidRPr="00742001" w:rsidTr="00F0114B">
        <w:trPr>
          <w:trHeight w:val="315"/>
          <w:jc w:val="center"/>
        </w:trPr>
        <w:tc>
          <w:tcPr>
            <w:tcW w:w="3200" w:type="dxa"/>
            <w:tcBorders>
              <w:top w:val="single" w:sz="4" w:space="0" w:color="auto"/>
              <w:left w:val="single" w:sz="4" w:space="0" w:color="auto"/>
              <w:bottom w:val="single" w:sz="4" w:space="0" w:color="auto"/>
              <w:right w:val="single" w:sz="4" w:space="0" w:color="000000"/>
            </w:tcBorders>
            <w:shd w:val="clear" w:color="auto" w:fill="C00000"/>
            <w:noWrap/>
            <w:vAlign w:val="center"/>
            <w:hideMark/>
          </w:tcPr>
          <w:p w:rsidR="00952A86" w:rsidRPr="00566BDB" w:rsidRDefault="00952A86" w:rsidP="007D485F">
            <w:pPr>
              <w:spacing w:after="0" w:line="240" w:lineRule="auto"/>
              <w:jc w:val="center"/>
              <w:rPr>
                <w:rFonts w:cstheme="minorHAnsi"/>
                <w:b/>
                <w:bCs/>
                <w:color w:val="FFFFFF" w:themeColor="background1"/>
                <w:sz w:val="28"/>
                <w:szCs w:val="28"/>
                <w:lang w:eastAsia="es-MX"/>
              </w:rPr>
            </w:pPr>
            <w:r w:rsidRPr="00566BDB">
              <w:rPr>
                <w:rFonts w:cstheme="minorHAnsi"/>
                <w:b/>
                <w:bCs/>
                <w:color w:val="FFFFFF" w:themeColor="background1"/>
                <w:sz w:val="28"/>
                <w:szCs w:val="28"/>
                <w:lang w:eastAsia="es-MX"/>
              </w:rPr>
              <w:t>Versión</w:t>
            </w:r>
          </w:p>
        </w:tc>
        <w:tc>
          <w:tcPr>
            <w:tcW w:w="146" w:type="dxa"/>
            <w:tcBorders>
              <w:top w:val="nil"/>
              <w:left w:val="nil"/>
              <w:bottom w:val="nil"/>
              <w:right w:val="nil"/>
            </w:tcBorders>
            <w:noWrap/>
            <w:vAlign w:val="bottom"/>
            <w:hideMark/>
          </w:tcPr>
          <w:p w:rsidR="00952A86" w:rsidRPr="00742001" w:rsidRDefault="00952A86" w:rsidP="007D485F">
            <w:pPr>
              <w:spacing w:after="0" w:line="240" w:lineRule="auto"/>
              <w:rPr>
                <w:rFonts w:cstheme="minorHAnsi"/>
                <w:color w:val="1F497D"/>
                <w:sz w:val="28"/>
                <w:szCs w:val="28"/>
                <w:lang w:eastAsia="es-MX"/>
              </w:rPr>
            </w:pPr>
          </w:p>
        </w:tc>
        <w:tc>
          <w:tcPr>
            <w:tcW w:w="320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952A86" w:rsidRPr="00566BDB" w:rsidRDefault="00952A86" w:rsidP="007D485F">
            <w:pPr>
              <w:spacing w:after="0" w:line="240" w:lineRule="auto"/>
              <w:jc w:val="center"/>
              <w:rPr>
                <w:rFonts w:cstheme="minorHAnsi"/>
                <w:b/>
                <w:bCs/>
                <w:color w:val="FFFFFF" w:themeColor="background1"/>
                <w:sz w:val="28"/>
                <w:szCs w:val="28"/>
                <w:lang w:eastAsia="es-MX"/>
              </w:rPr>
            </w:pPr>
            <w:r w:rsidRPr="00566BDB">
              <w:rPr>
                <w:rFonts w:cstheme="minorHAnsi"/>
                <w:b/>
                <w:bCs/>
                <w:color w:val="FFFFFF" w:themeColor="background1"/>
                <w:sz w:val="28"/>
                <w:szCs w:val="28"/>
                <w:lang w:eastAsia="es-MX"/>
              </w:rPr>
              <w:t>Fecha</w:t>
            </w:r>
          </w:p>
        </w:tc>
      </w:tr>
      <w:tr w:rsidR="00952A86" w:rsidRPr="00742001" w:rsidTr="007D485F">
        <w:trPr>
          <w:trHeight w:val="624"/>
          <w:jc w:val="center"/>
        </w:trPr>
        <w:tc>
          <w:tcPr>
            <w:tcW w:w="3200" w:type="dxa"/>
            <w:tcBorders>
              <w:top w:val="single" w:sz="4" w:space="0" w:color="auto"/>
              <w:left w:val="single" w:sz="4" w:space="0" w:color="auto"/>
              <w:bottom w:val="single" w:sz="4" w:space="0" w:color="000000"/>
              <w:right w:val="single" w:sz="4" w:space="0" w:color="000000"/>
            </w:tcBorders>
            <w:noWrap/>
            <w:vAlign w:val="center"/>
            <w:hideMark/>
          </w:tcPr>
          <w:p w:rsidR="00952A86" w:rsidRPr="00742001" w:rsidRDefault="00952A86" w:rsidP="007D485F">
            <w:pPr>
              <w:spacing w:after="0" w:line="240" w:lineRule="auto"/>
              <w:jc w:val="center"/>
              <w:rPr>
                <w:rFonts w:cstheme="minorHAnsi"/>
                <w:color w:val="000000"/>
                <w:sz w:val="28"/>
                <w:szCs w:val="28"/>
                <w:lang w:eastAsia="es-MX"/>
              </w:rPr>
            </w:pPr>
            <w:r w:rsidRPr="00742001">
              <w:rPr>
                <w:rFonts w:cstheme="minorHAnsi"/>
                <w:color w:val="000000"/>
                <w:sz w:val="28"/>
                <w:szCs w:val="28"/>
                <w:lang w:eastAsia="es-MX"/>
              </w:rPr>
              <w:t> </w:t>
            </w:r>
            <w:r w:rsidR="00CF6875">
              <w:rPr>
                <w:rFonts w:cstheme="minorHAnsi"/>
                <w:color w:val="000000"/>
                <w:sz w:val="28"/>
                <w:szCs w:val="28"/>
                <w:lang w:eastAsia="es-MX"/>
              </w:rPr>
              <w:t>1</w:t>
            </w:r>
          </w:p>
        </w:tc>
        <w:tc>
          <w:tcPr>
            <w:tcW w:w="146" w:type="dxa"/>
            <w:tcBorders>
              <w:top w:val="nil"/>
              <w:left w:val="nil"/>
              <w:bottom w:val="nil"/>
              <w:right w:val="single" w:sz="4" w:space="0" w:color="auto"/>
            </w:tcBorders>
            <w:vAlign w:val="center"/>
            <w:hideMark/>
          </w:tcPr>
          <w:p w:rsidR="00952A86" w:rsidRPr="00742001" w:rsidRDefault="00952A86" w:rsidP="007D485F">
            <w:pPr>
              <w:spacing w:after="0" w:line="240" w:lineRule="auto"/>
              <w:rPr>
                <w:rFonts w:cstheme="minorHAnsi"/>
                <w:b/>
                <w:bCs/>
                <w:color w:val="FFFFFF"/>
                <w:sz w:val="28"/>
                <w:szCs w:val="28"/>
                <w:lang w:eastAsia="es-MX"/>
              </w:rPr>
            </w:pPr>
          </w:p>
        </w:tc>
        <w:tc>
          <w:tcPr>
            <w:tcW w:w="3200" w:type="dxa"/>
            <w:tcBorders>
              <w:top w:val="single" w:sz="4" w:space="0" w:color="auto"/>
              <w:left w:val="single" w:sz="4" w:space="0" w:color="auto"/>
              <w:bottom w:val="single" w:sz="4" w:space="0" w:color="auto"/>
              <w:right w:val="single" w:sz="4" w:space="0" w:color="auto"/>
            </w:tcBorders>
            <w:vAlign w:val="center"/>
            <w:hideMark/>
          </w:tcPr>
          <w:p w:rsidR="00952A86" w:rsidRPr="00742001" w:rsidRDefault="00CF6875" w:rsidP="007D485F">
            <w:pPr>
              <w:spacing w:after="0" w:line="240" w:lineRule="auto"/>
              <w:jc w:val="center"/>
              <w:rPr>
                <w:rFonts w:cstheme="minorHAnsi"/>
                <w:sz w:val="28"/>
                <w:szCs w:val="28"/>
                <w:lang w:eastAsia="es-MX"/>
              </w:rPr>
            </w:pPr>
            <w:r>
              <w:rPr>
                <w:rFonts w:cstheme="minorHAnsi"/>
                <w:sz w:val="28"/>
                <w:szCs w:val="28"/>
                <w:lang w:eastAsia="es-MX"/>
              </w:rPr>
              <w:t>15/11/2017</w:t>
            </w:r>
            <w:r w:rsidR="00952A86" w:rsidRPr="00742001">
              <w:rPr>
                <w:rFonts w:cstheme="minorHAnsi"/>
                <w:sz w:val="28"/>
                <w:szCs w:val="28"/>
                <w:lang w:eastAsia="es-MX"/>
              </w:rPr>
              <w:t> </w:t>
            </w:r>
          </w:p>
        </w:tc>
      </w:tr>
    </w:tbl>
    <w:p w:rsidR="00952A86" w:rsidRDefault="00952A86" w:rsidP="00952A86">
      <w:pPr>
        <w:spacing w:after="0" w:line="240" w:lineRule="auto"/>
        <w:rPr>
          <w:rFonts w:cstheme="minorHAnsi"/>
        </w:rPr>
      </w:pPr>
    </w:p>
    <w:p w:rsidR="00952A86" w:rsidRDefault="00952A86" w:rsidP="00952A86">
      <w:pPr>
        <w:spacing w:after="0" w:line="240" w:lineRule="auto"/>
        <w:jc w:val="both"/>
        <w:rPr>
          <w:rFonts w:cstheme="minorHAnsi"/>
          <w:sz w:val="16"/>
          <w:szCs w:val="16"/>
        </w:rPr>
      </w:pPr>
    </w:p>
    <w:p w:rsidR="00952A86" w:rsidRPr="00FA6E5A" w:rsidRDefault="00952A86" w:rsidP="00952A86">
      <w:pPr>
        <w:spacing w:after="0" w:line="240" w:lineRule="auto"/>
        <w:jc w:val="both"/>
        <w:rPr>
          <w:rFonts w:cstheme="minorHAnsi"/>
          <w:sz w:val="16"/>
          <w:szCs w:val="16"/>
        </w:rPr>
      </w:pPr>
    </w:p>
    <w:p w:rsidR="00952A86" w:rsidRDefault="00952A86" w:rsidP="007353E9">
      <w:pPr>
        <w:jc w:val="both"/>
        <w:rPr>
          <w:rFonts w:cstheme="minorHAnsi"/>
          <w:color w:val="808080"/>
          <w:szCs w:val="28"/>
        </w:rPr>
      </w:pPr>
    </w:p>
    <w:p w:rsidR="00952A86" w:rsidRDefault="00952A86" w:rsidP="007353E9">
      <w:pPr>
        <w:jc w:val="both"/>
        <w:rPr>
          <w:rFonts w:cstheme="minorHAnsi"/>
          <w:color w:val="808080"/>
          <w:szCs w:val="28"/>
        </w:rPr>
      </w:pPr>
    </w:p>
    <w:sectPr w:rsidR="00952A86" w:rsidSect="00DC2E77">
      <w:headerReference w:type="default" r:id="rId29"/>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51B" w:rsidRDefault="006E151B" w:rsidP="007353E9">
      <w:pPr>
        <w:spacing w:after="0" w:line="240" w:lineRule="auto"/>
      </w:pPr>
      <w:r>
        <w:separator/>
      </w:r>
    </w:p>
  </w:endnote>
  <w:endnote w:type="continuationSeparator" w:id="0">
    <w:p w:rsidR="006E151B" w:rsidRDefault="006E151B" w:rsidP="00735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51B" w:rsidRDefault="006E151B" w:rsidP="007353E9">
      <w:pPr>
        <w:spacing w:after="0" w:line="240" w:lineRule="auto"/>
      </w:pPr>
      <w:r>
        <w:separator/>
      </w:r>
    </w:p>
  </w:footnote>
  <w:footnote w:type="continuationSeparator" w:id="0">
    <w:p w:rsidR="006E151B" w:rsidRDefault="006E151B" w:rsidP="00735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28C" w:rsidRPr="007D1264" w:rsidRDefault="0058128C" w:rsidP="007353E9">
    <w:pPr>
      <w:pStyle w:val="Encabezado"/>
      <w:tabs>
        <w:tab w:val="right" w:pos="9214"/>
      </w:tabs>
      <w:ind w:right="146"/>
      <w:jc w:val="right"/>
      <w:rPr>
        <w:rFonts w:cstheme="minorHAnsi"/>
        <w:b/>
        <w:color w:val="222A35" w:themeColor="text2" w:themeShade="80"/>
        <w:sz w:val="24"/>
        <w:szCs w:val="24"/>
      </w:rPr>
    </w:pPr>
    <w:r>
      <w:rPr>
        <w:rFonts w:cstheme="minorHAnsi"/>
        <w:b/>
        <w:color w:val="222A35" w:themeColor="text2" w:themeShade="80"/>
        <w:sz w:val="24"/>
        <w:szCs w:val="24"/>
      </w:rPr>
      <w:t>Evaluación Ex Post</w:t>
    </w:r>
  </w:p>
  <w:p w:rsidR="0058128C" w:rsidRDefault="0058128C" w:rsidP="007353E9">
    <w:pPr>
      <w:pStyle w:val="Encabezado"/>
    </w:pPr>
    <w:r>
      <w:rPr>
        <w:noProof/>
        <w:lang w:eastAsia="es-MX"/>
      </w:rPr>
      <mc:AlternateContent>
        <mc:Choice Requires="wps">
          <w:drawing>
            <wp:anchor distT="4294967295" distB="4294967295" distL="114300" distR="114300" simplePos="0" relativeHeight="251659264" behindDoc="0" locked="0" layoutInCell="1" allowOverlap="1" wp14:anchorId="488CB576" wp14:editId="591A40DD">
              <wp:simplePos x="0" y="0"/>
              <wp:positionH relativeFrom="column">
                <wp:posOffset>-7620</wp:posOffset>
              </wp:positionH>
              <wp:positionV relativeFrom="paragraph">
                <wp:posOffset>89535</wp:posOffset>
              </wp:positionV>
              <wp:extent cx="5939790" cy="0"/>
              <wp:effectExtent l="20955" t="22860" r="20955" b="2476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38100">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831A3" id="_x0000_t32" coordsize="21600,21600" o:spt="32" o:oned="t" path="m,l21600,21600e" filled="f">
              <v:path arrowok="t" fillok="f" o:connecttype="none"/>
              <o:lock v:ext="edit" shapetype="t"/>
            </v:shapetype>
            <v:shape id="AutoShape 2" o:spid="_x0000_s1026" type="#_x0000_t32" style="position:absolute;margin-left:-.6pt;margin-top:7.05pt;width:467.7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" strokecolor="#0f243e"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203F"/>
    <w:multiLevelType w:val="hybridMultilevel"/>
    <w:tmpl w:val="6F3A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44566"/>
    <w:multiLevelType w:val="hybridMultilevel"/>
    <w:tmpl w:val="3788CB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26109"/>
    <w:multiLevelType w:val="hybridMultilevel"/>
    <w:tmpl w:val="A54CD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11CB7"/>
    <w:multiLevelType w:val="hybridMultilevel"/>
    <w:tmpl w:val="B7B41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7C79AF"/>
    <w:multiLevelType w:val="hybridMultilevel"/>
    <w:tmpl w:val="036CC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76DB0"/>
    <w:multiLevelType w:val="hybridMultilevel"/>
    <w:tmpl w:val="C8BA23C0"/>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FD388E"/>
    <w:multiLevelType w:val="hybridMultilevel"/>
    <w:tmpl w:val="A3F4503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2415465"/>
    <w:multiLevelType w:val="hybridMultilevel"/>
    <w:tmpl w:val="C7440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21539B"/>
    <w:multiLevelType w:val="hybridMultilevel"/>
    <w:tmpl w:val="6BFE4F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540694"/>
    <w:multiLevelType w:val="hybridMultilevel"/>
    <w:tmpl w:val="00120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C45CCA"/>
    <w:multiLevelType w:val="hybridMultilevel"/>
    <w:tmpl w:val="5B8444EE"/>
    <w:lvl w:ilvl="0" w:tplc="080A0013">
      <w:start w:val="1"/>
      <w:numFmt w:val="upperRoman"/>
      <w:lvlText w:val="%1."/>
      <w:lvlJc w:val="righ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87934BC"/>
    <w:multiLevelType w:val="hybridMultilevel"/>
    <w:tmpl w:val="9F982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6705F4"/>
    <w:multiLevelType w:val="hybridMultilevel"/>
    <w:tmpl w:val="2F0686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B914982"/>
    <w:multiLevelType w:val="hybridMultilevel"/>
    <w:tmpl w:val="A35EDACC"/>
    <w:lvl w:ilvl="0" w:tplc="080A0001">
      <w:start w:val="1"/>
      <w:numFmt w:val="bullet"/>
      <w:lvlText w:val=""/>
      <w:lvlJc w:val="left"/>
      <w:pPr>
        <w:ind w:left="715" w:hanging="360"/>
      </w:pPr>
      <w:rPr>
        <w:rFonts w:ascii="Symbol" w:hAnsi="Symbol"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14" w15:restartNumberingAfterBreak="0">
    <w:nsid w:val="4FCA3BB8"/>
    <w:multiLevelType w:val="hybridMultilevel"/>
    <w:tmpl w:val="88EC7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825235"/>
    <w:multiLevelType w:val="hybridMultilevel"/>
    <w:tmpl w:val="C8BA23C0"/>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162532A"/>
    <w:multiLevelType w:val="hybridMultilevel"/>
    <w:tmpl w:val="60AAC7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EA04BD"/>
    <w:multiLevelType w:val="hybridMultilevel"/>
    <w:tmpl w:val="C674E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7B4BD1"/>
    <w:multiLevelType w:val="hybridMultilevel"/>
    <w:tmpl w:val="EC3C4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0633A1"/>
    <w:multiLevelType w:val="hybridMultilevel"/>
    <w:tmpl w:val="B70A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6C7F18"/>
    <w:multiLevelType w:val="hybridMultilevel"/>
    <w:tmpl w:val="3A1A7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AC7BFB"/>
    <w:multiLevelType w:val="hybridMultilevel"/>
    <w:tmpl w:val="5AA4CB82"/>
    <w:lvl w:ilvl="0" w:tplc="080A0001">
      <w:start w:val="1"/>
      <w:numFmt w:val="bullet"/>
      <w:lvlText w:val=""/>
      <w:lvlJc w:val="left"/>
      <w:pPr>
        <w:ind w:left="715" w:hanging="360"/>
      </w:pPr>
      <w:rPr>
        <w:rFonts w:ascii="Symbol" w:hAnsi="Symbol"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22" w15:restartNumberingAfterBreak="0">
    <w:nsid w:val="7BD9024D"/>
    <w:multiLevelType w:val="hybridMultilevel"/>
    <w:tmpl w:val="F328C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9"/>
  </w:num>
  <w:num w:numId="4">
    <w:abstractNumId w:val="10"/>
  </w:num>
  <w:num w:numId="5">
    <w:abstractNumId w:val="6"/>
  </w:num>
  <w:num w:numId="6">
    <w:abstractNumId w:val="5"/>
  </w:num>
  <w:num w:numId="7">
    <w:abstractNumId w:val="8"/>
  </w:num>
  <w:num w:numId="8">
    <w:abstractNumId w:val="17"/>
  </w:num>
  <w:num w:numId="9">
    <w:abstractNumId w:val="21"/>
  </w:num>
  <w:num w:numId="10">
    <w:abstractNumId w:val="13"/>
  </w:num>
  <w:num w:numId="11">
    <w:abstractNumId w:val="0"/>
  </w:num>
  <w:num w:numId="12">
    <w:abstractNumId w:val="3"/>
  </w:num>
  <w:num w:numId="13">
    <w:abstractNumId w:val="12"/>
  </w:num>
  <w:num w:numId="14">
    <w:abstractNumId w:val="15"/>
  </w:num>
  <w:num w:numId="15">
    <w:abstractNumId w:val="4"/>
  </w:num>
  <w:num w:numId="16">
    <w:abstractNumId w:val="2"/>
  </w:num>
  <w:num w:numId="17">
    <w:abstractNumId w:val="7"/>
  </w:num>
  <w:num w:numId="18">
    <w:abstractNumId w:val="20"/>
  </w:num>
  <w:num w:numId="19">
    <w:abstractNumId w:val="14"/>
  </w:num>
  <w:num w:numId="20">
    <w:abstractNumId w:val="19"/>
  </w:num>
  <w:num w:numId="21">
    <w:abstractNumId w:val="11"/>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6D"/>
    <w:rsid w:val="0000448F"/>
    <w:rsid w:val="00085FBF"/>
    <w:rsid w:val="000C6773"/>
    <w:rsid w:val="00102DA2"/>
    <w:rsid w:val="00125AE1"/>
    <w:rsid w:val="00144F32"/>
    <w:rsid w:val="00152233"/>
    <w:rsid w:val="001700FE"/>
    <w:rsid w:val="00173A92"/>
    <w:rsid w:val="001C5ABF"/>
    <w:rsid w:val="002115EA"/>
    <w:rsid w:val="0023156C"/>
    <w:rsid w:val="00236FF2"/>
    <w:rsid w:val="00240CEE"/>
    <w:rsid w:val="00250218"/>
    <w:rsid w:val="002530A7"/>
    <w:rsid w:val="002613A9"/>
    <w:rsid w:val="00271752"/>
    <w:rsid w:val="002B3FD4"/>
    <w:rsid w:val="00305B9A"/>
    <w:rsid w:val="00353FBC"/>
    <w:rsid w:val="00355BD7"/>
    <w:rsid w:val="00365B86"/>
    <w:rsid w:val="00372A44"/>
    <w:rsid w:val="003A24F4"/>
    <w:rsid w:val="003C2A7B"/>
    <w:rsid w:val="003E5D6F"/>
    <w:rsid w:val="00401A41"/>
    <w:rsid w:val="004236F3"/>
    <w:rsid w:val="00434E33"/>
    <w:rsid w:val="0044225A"/>
    <w:rsid w:val="00462A38"/>
    <w:rsid w:val="004A12B5"/>
    <w:rsid w:val="004D2099"/>
    <w:rsid w:val="004F61C3"/>
    <w:rsid w:val="00501614"/>
    <w:rsid w:val="00524A10"/>
    <w:rsid w:val="0058128C"/>
    <w:rsid w:val="005812C0"/>
    <w:rsid w:val="005A3FA8"/>
    <w:rsid w:val="005B3976"/>
    <w:rsid w:val="005C0C7A"/>
    <w:rsid w:val="005C6A73"/>
    <w:rsid w:val="005E651A"/>
    <w:rsid w:val="00634447"/>
    <w:rsid w:val="00643C71"/>
    <w:rsid w:val="006467A4"/>
    <w:rsid w:val="00647F9D"/>
    <w:rsid w:val="006665BB"/>
    <w:rsid w:val="006E151B"/>
    <w:rsid w:val="007353E9"/>
    <w:rsid w:val="0075106D"/>
    <w:rsid w:val="00753FF7"/>
    <w:rsid w:val="00772873"/>
    <w:rsid w:val="007D485F"/>
    <w:rsid w:val="007E4E5E"/>
    <w:rsid w:val="00807B6C"/>
    <w:rsid w:val="00810C78"/>
    <w:rsid w:val="00823C1F"/>
    <w:rsid w:val="008540F7"/>
    <w:rsid w:val="00867A93"/>
    <w:rsid w:val="008C1B23"/>
    <w:rsid w:val="009162D8"/>
    <w:rsid w:val="00933841"/>
    <w:rsid w:val="00952A86"/>
    <w:rsid w:val="009A6CE2"/>
    <w:rsid w:val="009D0A01"/>
    <w:rsid w:val="00A528E2"/>
    <w:rsid w:val="00A5517D"/>
    <w:rsid w:val="00A91A09"/>
    <w:rsid w:val="00AB3226"/>
    <w:rsid w:val="00AE312B"/>
    <w:rsid w:val="00AE7D4A"/>
    <w:rsid w:val="00AF0EE7"/>
    <w:rsid w:val="00B17FB3"/>
    <w:rsid w:val="00B23645"/>
    <w:rsid w:val="00B653C8"/>
    <w:rsid w:val="00B76270"/>
    <w:rsid w:val="00BA07D2"/>
    <w:rsid w:val="00BA7FC2"/>
    <w:rsid w:val="00BD7510"/>
    <w:rsid w:val="00BE0E50"/>
    <w:rsid w:val="00BE3229"/>
    <w:rsid w:val="00C1572B"/>
    <w:rsid w:val="00C463B0"/>
    <w:rsid w:val="00C53055"/>
    <w:rsid w:val="00C730A2"/>
    <w:rsid w:val="00C83323"/>
    <w:rsid w:val="00CC3186"/>
    <w:rsid w:val="00CD5A56"/>
    <w:rsid w:val="00CF6875"/>
    <w:rsid w:val="00D009F7"/>
    <w:rsid w:val="00D73197"/>
    <w:rsid w:val="00D7472C"/>
    <w:rsid w:val="00DC2E77"/>
    <w:rsid w:val="00DC2EBA"/>
    <w:rsid w:val="00DF4A6F"/>
    <w:rsid w:val="00DF72B4"/>
    <w:rsid w:val="00E41582"/>
    <w:rsid w:val="00E555D8"/>
    <w:rsid w:val="00E712EC"/>
    <w:rsid w:val="00E965AC"/>
    <w:rsid w:val="00EF3597"/>
    <w:rsid w:val="00EF3EF2"/>
    <w:rsid w:val="00F0114B"/>
    <w:rsid w:val="00FA43AD"/>
    <w:rsid w:val="00FF65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DACEB9-8364-4F8B-8A05-59727F05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D6F"/>
  </w:style>
  <w:style w:type="paragraph" w:styleId="Ttulo1">
    <w:name w:val="heading 1"/>
    <w:basedOn w:val="Normal"/>
    <w:next w:val="Normal"/>
    <w:link w:val="Ttulo1Car"/>
    <w:uiPriority w:val="9"/>
    <w:qFormat/>
    <w:rsid w:val="007353E9"/>
    <w:pPr>
      <w:keepNext/>
      <w:spacing w:before="240" w:after="60" w:line="276" w:lineRule="auto"/>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952A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353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07B6C"/>
    <w:pPr>
      <w:ind w:left="720"/>
      <w:contextualSpacing/>
    </w:pPr>
  </w:style>
  <w:style w:type="character" w:customStyle="1" w:styleId="Ttulo1Car">
    <w:name w:val="Título 1 Car"/>
    <w:basedOn w:val="Fuentedeprrafopredeter"/>
    <w:link w:val="Ttulo1"/>
    <w:uiPriority w:val="9"/>
    <w:rsid w:val="007353E9"/>
    <w:rPr>
      <w:rFonts w:ascii="Cambria" w:eastAsia="Times New Roman" w:hAnsi="Cambria" w:cs="Times New Roman"/>
      <w:b/>
      <w:bCs/>
      <w:kern w:val="32"/>
      <w:sz w:val="32"/>
      <w:szCs w:val="32"/>
    </w:rPr>
  </w:style>
  <w:style w:type="character" w:customStyle="1" w:styleId="PrrafodelistaCar">
    <w:name w:val="Párrafo de lista Car"/>
    <w:link w:val="Prrafodelista"/>
    <w:uiPriority w:val="34"/>
    <w:locked/>
    <w:rsid w:val="007353E9"/>
  </w:style>
  <w:style w:type="character" w:customStyle="1" w:styleId="Ttulo3Car">
    <w:name w:val="Título 3 Car"/>
    <w:basedOn w:val="Fuentedeprrafopredeter"/>
    <w:link w:val="Ttulo3"/>
    <w:uiPriority w:val="9"/>
    <w:rsid w:val="007353E9"/>
    <w:rPr>
      <w:rFonts w:asciiTheme="majorHAnsi" w:eastAsiaTheme="majorEastAsia" w:hAnsiTheme="majorHAnsi" w:cstheme="majorBidi"/>
      <w:color w:val="1F4D78" w:themeColor="accent1" w:themeShade="7F"/>
      <w:sz w:val="24"/>
      <w:szCs w:val="24"/>
    </w:rPr>
  </w:style>
  <w:style w:type="paragraph" w:styleId="Textoindependiente">
    <w:name w:val="Body Text"/>
    <w:basedOn w:val="Normal"/>
    <w:link w:val="TextoindependienteCar"/>
    <w:rsid w:val="007353E9"/>
    <w:pPr>
      <w:spacing w:after="120" w:line="240" w:lineRule="auto"/>
    </w:pPr>
    <w:rPr>
      <w:rFonts w:ascii="Times New Roman" w:eastAsia="Times New Roman" w:hAnsi="Times New Roman" w:cs="Times New Roman"/>
      <w:sz w:val="24"/>
      <w:szCs w:val="24"/>
      <w:lang w:val="en-GB" w:eastAsia="en-GB"/>
    </w:rPr>
  </w:style>
  <w:style w:type="character" w:customStyle="1" w:styleId="TextoindependienteCar">
    <w:name w:val="Texto independiente Car"/>
    <w:basedOn w:val="Fuentedeprrafopredeter"/>
    <w:link w:val="Textoindependiente"/>
    <w:rsid w:val="007353E9"/>
    <w:rPr>
      <w:rFonts w:ascii="Times New Roman" w:eastAsia="Times New Roman" w:hAnsi="Times New Roman" w:cs="Times New Roman"/>
      <w:sz w:val="24"/>
      <w:szCs w:val="24"/>
      <w:lang w:val="en-GB" w:eastAsia="en-GB"/>
    </w:rPr>
  </w:style>
  <w:style w:type="paragraph" w:styleId="Encabezado">
    <w:name w:val="header"/>
    <w:basedOn w:val="Normal"/>
    <w:link w:val="EncabezadoCar"/>
    <w:unhideWhenUsed/>
    <w:rsid w:val="007353E9"/>
    <w:pPr>
      <w:tabs>
        <w:tab w:val="center" w:pos="4419"/>
        <w:tab w:val="right" w:pos="8838"/>
      </w:tabs>
      <w:spacing w:after="0" w:line="240" w:lineRule="auto"/>
    </w:pPr>
  </w:style>
  <w:style w:type="character" w:customStyle="1" w:styleId="EncabezadoCar">
    <w:name w:val="Encabezado Car"/>
    <w:basedOn w:val="Fuentedeprrafopredeter"/>
    <w:link w:val="Encabezado"/>
    <w:rsid w:val="007353E9"/>
  </w:style>
  <w:style w:type="paragraph" w:styleId="Piedepgina">
    <w:name w:val="footer"/>
    <w:basedOn w:val="Normal"/>
    <w:link w:val="PiedepginaCar"/>
    <w:uiPriority w:val="99"/>
    <w:unhideWhenUsed/>
    <w:rsid w:val="007353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53E9"/>
  </w:style>
  <w:style w:type="character" w:customStyle="1" w:styleId="Ttulo2Car">
    <w:name w:val="Título 2 Car"/>
    <w:basedOn w:val="Fuentedeprrafopredeter"/>
    <w:link w:val="Ttulo2"/>
    <w:uiPriority w:val="9"/>
    <w:rsid w:val="00952A86"/>
    <w:rPr>
      <w:rFonts w:asciiTheme="majorHAnsi" w:eastAsiaTheme="majorEastAsia" w:hAnsiTheme="majorHAnsi" w:cstheme="majorBidi"/>
      <w:color w:val="2E74B5" w:themeColor="accent1" w:themeShade="BF"/>
      <w:sz w:val="26"/>
      <w:szCs w:val="26"/>
    </w:rPr>
  </w:style>
  <w:style w:type="character" w:styleId="Hipervnculo">
    <w:name w:val="Hyperlink"/>
    <w:uiPriority w:val="99"/>
    <w:unhideWhenUsed/>
    <w:rsid w:val="00952A86"/>
    <w:rPr>
      <w:strike w:val="0"/>
      <w:dstrike w:val="0"/>
      <w:color w:val="0000FF"/>
      <w:u w:val="none"/>
      <w:effect w:val="none"/>
    </w:rPr>
  </w:style>
  <w:style w:type="paragraph" w:styleId="Sinespaciado">
    <w:name w:val="No Spacing"/>
    <w:link w:val="SinespaciadoCar"/>
    <w:uiPriority w:val="1"/>
    <w:qFormat/>
    <w:rsid w:val="00952A86"/>
    <w:pPr>
      <w:spacing w:after="0" w:line="240" w:lineRule="auto"/>
    </w:pPr>
    <w:rPr>
      <w:rFonts w:ascii="Times New Roman" w:eastAsia="Times New Roman" w:hAnsi="Times New Roman" w:cs="Times New Roman"/>
      <w:lang w:val="en-US"/>
    </w:rPr>
  </w:style>
  <w:style w:type="character" w:customStyle="1" w:styleId="SinespaciadoCar">
    <w:name w:val="Sin espaciado Car"/>
    <w:link w:val="Sinespaciado"/>
    <w:uiPriority w:val="1"/>
    <w:rsid w:val="00952A86"/>
    <w:rPr>
      <w:rFonts w:ascii="Times New Roman" w:eastAsia="Times New Roman" w:hAnsi="Times New Roman" w:cs="Times New Roman"/>
      <w:lang w:val="en-US"/>
    </w:rPr>
  </w:style>
  <w:style w:type="paragraph" w:styleId="TtulodeTDC">
    <w:name w:val="TOC Heading"/>
    <w:basedOn w:val="Ttulo1"/>
    <w:next w:val="Normal"/>
    <w:uiPriority w:val="39"/>
    <w:unhideWhenUsed/>
    <w:qFormat/>
    <w:rsid w:val="005C6A73"/>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es-MX"/>
    </w:rPr>
  </w:style>
  <w:style w:type="paragraph" w:styleId="TDC2">
    <w:name w:val="toc 2"/>
    <w:basedOn w:val="Normal"/>
    <w:next w:val="Normal"/>
    <w:autoRedefine/>
    <w:uiPriority w:val="39"/>
    <w:unhideWhenUsed/>
    <w:rsid w:val="005C6A73"/>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5C6A73"/>
    <w:pPr>
      <w:spacing w:after="100"/>
    </w:pPr>
    <w:rPr>
      <w:rFonts w:eastAsiaTheme="minorEastAsia" w:cs="Times New Roman"/>
      <w:lang w:eastAsia="es-MX"/>
    </w:rPr>
  </w:style>
  <w:style w:type="paragraph" w:styleId="TDC3">
    <w:name w:val="toc 3"/>
    <w:basedOn w:val="Normal"/>
    <w:next w:val="Normal"/>
    <w:autoRedefine/>
    <w:uiPriority w:val="39"/>
    <w:unhideWhenUsed/>
    <w:rsid w:val="005C6A73"/>
    <w:pPr>
      <w:spacing w:after="100"/>
      <w:ind w:left="440"/>
    </w:pPr>
    <w:rPr>
      <w:rFonts w:eastAsiaTheme="minorEastAsia"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3631">
      <w:bodyDiv w:val="1"/>
      <w:marLeft w:val="0"/>
      <w:marRight w:val="0"/>
      <w:marTop w:val="0"/>
      <w:marBottom w:val="0"/>
      <w:divBdr>
        <w:top w:val="none" w:sz="0" w:space="0" w:color="auto"/>
        <w:left w:val="none" w:sz="0" w:space="0" w:color="auto"/>
        <w:bottom w:val="none" w:sz="0" w:space="0" w:color="auto"/>
        <w:right w:val="none" w:sz="0" w:space="0" w:color="auto"/>
      </w:divBdr>
    </w:div>
    <w:div w:id="135491908">
      <w:bodyDiv w:val="1"/>
      <w:marLeft w:val="0"/>
      <w:marRight w:val="0"/>
      <w:marTop w:val="0"/>
      <w:marBottom w:val="0"/>
      <w:divBdr>
        <w:top w:val="none" w:sz="0" w:space="0" w:color="auto"/>
        <w:left w:val="none" w:sz="0" w:space="0" w:color="auto"/>
        <w:bottom w:val="none" w:sz="0" w:space="0" w:color="auto"/>
        <w:right w:val="none" w:sz="0" w:space="0" w:color="auto"/>
      </w:divBdr>
    </w:div>
    <w:div w:id="148523684">
      <w:bodyDiv w:val="1"/>
      <w:marLeft w:val="0"/>
      <w:marRight w:val="0"/>
      <w:marTop w:val="0"/>
      <w:marBottom w:val="0"/>
      <w:divBdr>
        <w:top w:val="none" w:sz="0" w:space="0" w:color="auto"/>
        <w:left w:val="none" w:sz="0" w:space="0" w:color="auto"/>
        <w:bottom w:val="none" w:sz="0" w:space="0" w:color="auto"/>
        <w:right w:val="none" w:sz="0" w:space="0" w:color="auto"/>
      </w:divBdr>
    </w:div>
    <w:div w:id="286086666">
      <w:bodyDiv w:val="1"/>
      <w:marLeft w:val="0"/>
      <w:marRight w:val="0"/>
      <w:marTop w:val="0"/>
      <w:marBottom w:val="0"/>
      <w:divBdr>
        <w:top w:val="none" w:sz="0" w:space="0" w:color="auto"/>
        <w:left w:val="none" w:sz="0" w:space="0" w:color="auto"/>
        <w:bottom w:val="none" w:sz="0" w:space="0" w:color="auto"/>
        <w:right w:val="none" w:sz="0" w:space="0" w:color="auto"/>
      </w:divBdr>
    </w:div>
    <w:div w:id="313872803">
      <w:bodyDiv w:val="1"/>
      <w:marLeft w:val="0"/>
      <w:marRight w:val="0"/>
      <w:marTop w:val="0"/>
      <w:marBottom w:val="0"/>
      <w:divBdr>
        <w:top w:val="none" w:sz="0" w:space="0" w:color="auto"/>
        <w:left w:val="none" w:sz="0" w:space="0" w:color="auto"/>
        <w:bottom w:val="none" w:sz="0" w:space="0" w:color="auto"/>
        <w:right w:val="none" w:sz="0" w:space="0" w:color="auto"/>
      </w:divBdr>
    </w:div>
    <w:div w:id="345986865">
      <w:bodyDiv w:val="1"/>
      <w:marLeft w:val="0"/>
      <w:marRight w:val="0"/>
      <w:marTop w:val="0"/>
      <w:marBottom w:val="0"/>
      <w:divBdr>
        <w:top w:val="none" w:sz="0" w:space="0" w:color="auto"/>
        <w:left w:val="none" w:sz="0" w:space="0" w:color="auto"/>
        <w:bottom w:val="none" w:sz="0" w:space="0" w:color="auto"/>
        <w:right w:val="none" w:sz="0" w:space="0" w:color="auto"/>
      </w:divBdr>
    </w:div>
    <w:div w:id="385228899">
      <w:bodyDiv w:val="1"/>
      <w:marLeft w:val="0"/>
      <w:marRight w:val="0"/>
      <w:marTop w:val="0"/>
      <w:marBottom w:val="0"/>
      <w:divBdr>
        <w:top w:val="none" w:sz="0" w:space="0" w:color="auto"/>
        <w:left w:val="none" w:sz="0" w:space="0" w:color="auto"/>
        <w:bottom w:val="none" w:sz="0" w:space="0" w:color="auto"/>
        <w:right w:val="none" w:sz="0" w:space="0" w:color="auto"/>
      </w:divBdr>
    </w:div>
    <w:div w:id="405735491">
      <w:bodyDiv w:val="1"/>
      <w:marLeft w:val="0"/>
      <w:marRight w:val="0"/>
      <w:marTop w:val="0"/>
      <w:marBottom w:val="0"/>
      <w:divBdr>
        <w:top w:val="none" w:sz="0" w:space="0" w:color="auto"/>
        <w:left w:val="none" w:sz="0" w:space="0" w:color="auto"/>
        <w:bottom w:val="none" w:sz="0" w:space="0" w:color="auto"/>
        <w:right w:val="none" w:sz="0" w:space="0" w:color="auto"/>
      </w:divBdr>
    </w:div>
    <w:div w:id="442963709">
      <w:bodyDiv w:val="1"/>
      <w:marLeft w:val="0"/>
      <w:marRight w:val="0"/>
      <w:marTop w:val="0"/>
      <w:marBottom w:val="0"/>
      <w:divBdr>
        <w:top w:val="none" w:sz="0" w:space="0" w:color="auto"/>
        <w:left w:val="none" w:sz="0" w:space="0" w:color="auto"/>
        <w:bottom w:val="none" w:sz="0" w:space="0" w:color="auto"/>
        <w:right w:val="none" w:sz="0" w:space="0" w:color="auto"/>
      </w:divBdr>
    </w:div>
    <w:div w:id="525992158">
      <w:bodyDiv w:val="1"/>
      <w:marLeft w:val="0"/>
      <w:marRight w:val="0"/>
      <w:marTop w:val="0"/>
      <w:marBottom w:val="0"/>
      <w:divBdr>
        <w:top w:val="none" w:sz="0" w:space="0" w:color="auto"/>
        <w:left w:val="none" w:sz="0" w:space="0" w:color="auto"/>
        <w:bottom w:val="none" w:sz="0" w:space="0" w:color="auto"/>
        <w:right w:val="none" w:sz="0" w:space="0" w:color="auto"/>
      </w:divBdr>
    </w:div>
    <w:div w:id="592056102">
      <w:bodyDiv w:val="1"/>
      <w:marLeft w:val="0"/>
      <w:marRight w:val="0"/>
      <w:marTop w:val="0"/>
      <w:marBottom w:val="0"/>
      <w:divBdr>
        <w:top w:val="none" w:sz="0" w:space="0" w:color="auto"/>
        <w:left w:val="none" w:sz="0" w:space="0" w:color="auto"/>
        <w:bottom w:val="none" w:sz="0" w:space="0" w:color="auto"/>
        <w:right w:val="none" w:sz="0" w:space="0" w:color="auto"/>
      </w:divBdr>
    </w:div>
    <w:div w:id="635528679">
      <w:bodyDiv w:val="1"/>
      <w:marLeft w:val="0"/>
      <w:marRight w:val="0"/>
      <w:marTop w:val="0"/>
      <w:marBottom w:val="0"/>
      <w:divBdr>
        <w:top w:val="none" w:sz="0" w:space="0" w:color="auto"/>
        <w:left w:val="none" w:sz="0" w:space="0" w:color="auto"/>
        <w:bottom w:val="none" w:sz="0" w:space="0" w:color="auto"/>
        <w:right w:val="none" w:sz="0" w:space="0" w:color="auto"/>
      </w:divBdr>
    </w:div>
    <w:div w:id="640812064">
      <w:bodyDiv w:val="1"/>
      <w:marLeft w:val="0"/>
      <w:marRight w:val="0"/>
      <w:marTop w:val="0"/>
      <w:marBottom w:val="0"/>
      <w:divBdr>
        <w:top w:val="none" w:sz="0" w:space="0" w:color="auto"/>
        <w:left w:val="none" w:sz="0" w:space="0" w:color="auto"/>
        <w:bottom w:val="none" w:sz="0" w:space="0" w:color="auto"/>
        <w:right w:val="none" w:sz="0" w:space="0" w:color="auto"/>
      </w:divBdr>
    </w:div>
    <w:div w:id="651640538">
      <w:bodyDiv w:val="1"/>
      <w:marLeft w:val="0"/>
      <w:marRight w:val="0"/>
      <w:marTop w:val="0"/>
      <w:marBottom w:val="0"/>
      <w:divBdr>
        <w:top w:val="none" w:sz="0" w:space="0" w:color="auto"/>
        <w:left w:val="none" w:sz="0" w:space="0" w:color="auto"/>
        <w:bottom w:val="none" w:sz="0" w:space="0" w:color="auto"/>
        <w:right w:val="none" w:sz="0" w:space="0" w:color="auto"/>
      </w:divBdr>
    </w:div>
    <w:div w:id="702096106">
      <w:bodyDiv w:val="1"/>
      <w:marLeft w:val="0"/>
      <w:marRight w:val="0"/>
      <w:marTop w:val="0"/>
      <w:marBottom w:val="0"/>
      <w:divBdr>
        <w:top w:val="none" w:sz="0" w:space="0" w:color="auto"/>
        <w:left w:val="none" w:sz="0" w:space="0" w:color="auto"/>
        <w:bottom w:val="none" w:sz="0" w:space="0" w:color="auto"/>
        <w:right w:val="none" w:sz="0" w:space="0" w:color="auto"/>
      </w:divBdr>
    </w:div>
    <w:div w:id="719595839">
      <w:bodyDiv w:val="1"/>
      <w:marLeft w:val="0"/>
      <w:marRight w:val="0"/>
      <w:marTop w:val="0"/>
      <w:marBottom w:val="0"/>
      <w:divBdr>
        <w:top w:val="none" w:sz="0" w:space="0" w:color="auto"/>
        <w:left w:val="none" w:sz="0" w:space="0" w:color="auto"/>
        <w:bottom w:val="none" w:sz="0" w:space="0" w:color="auto"/>
        <w:right w:val="none" w:sz="0" w:space="0" w:color="auto"/>
      </w:divBdr>
    </w:div>
    <w:div w:id="792599736">
      <w:bodyDiv w:val="1"/>
      <w:marLeft w:val="0"/>
      <w:marRight w:val="0"/>
      <w:marTop w:val="0"/>
      <w:marBottom w:val="0"/>
      <w:divBdr>
        <w:top w:val="none" w:sz="0" w:space="0" w:color="auto"/>
        <w:left w:val="none" w:sz="0" w:space="0" w:color="auto"/>
        <w:bottom w:val="none" w:sz="0" w:space="0" w:color="auto"/>
        <w:right w:val="none" w:sz="0" w:space="0" w:color="auto"/>
      </w:divBdr>
    </w:div>
    <w:div w:id="857816390">
      <w:bodyDiv w:val="1"/>
      <w:marLeft w:val="0"/>
      <w:marRight w:val="0"/>
      <w:marTop w:val="0"/>
      <w:marBottom w:val="0"/>
      <w:divBdr>
        <w:top w:val="none" w:sz="0" w:space="0" w:color="auto"/>
        <w:left w:val="none" w:sz="0" w:space="0" w:color="auto"/>
        <w:bottom w:val="none" w:sz="0" w:space="0" w:color="auto"/>
        <w:right w:val="none" w:sz="0" w:space="0" w:color="auto"/>
      </w:divBdr>
    </w:div>
    <w:div w:id="875778450">
      <w:bodyDiv w:val="1"/>
      <w:marLeft w:val="0"/>
      <w:marRight w:val="0"/>
      <w:marTop w:val="0"/>
      <w:marBottom w:val="0"/>
      <w:divBdr>
        <w:top w:val="none" w:sz="0" w:space="0" w:color="auto"/>
        <w:left w:val="none" w:sz="0" w:space="0" w:color="auto"/>
        <w:bottom w:val="none" w:sz="0" w:space="0" w:color="auto"/>
        <w:right w:val="none" w:sz="0" w:space="0" w:color="auto"/>
      </w:divBdr>
    </w:div>
    <w:div w:id="899483069">
      <w:bodyDiv w:val="1"/>
      <w:marLeft w:val="0"/>
      <w:marRight w:val="0"/>
      <w:marTop w:val="0"/>
      <w:marBottom w:val="0"/>
      <w:divBdr>
        <w:top w:val="none" w:sz="0" w:space="0" w:color="auto"/>
        <w:left w:val="none" w:sz="0" w:space="0" w:color="auto"/>
        <w:bottom w:val="none" w:sz="0" w:space="0" w:color="auto"/>
        <w:right w:val="none" w:sz="0" w:space="0" w:color="auto"/>
      </w:divBdr>
    </w:div>
    <w:div w:id="952833441">
      <w:bodyDiv w:val="1"/>
      <w:marLeft w:val="0"/>
      <w:marRight w:val="0"/>
      <w:marTop w:val="0"/>
      <w:marBottom w:val="0"/>
      <w:divBdr>
        <w:top w:val="none" w:sz="0" w:space="0" w:color="auto"/>
        <w:left w:val="none" w:sz="0" w:space="0" w:color="auto"/>
        <w:bottom w:val="none" w:sz="0" w:space="0" w:color="auto"/>
        <w:right w:val="none" w:sz="0" w:space="0" w:color="auto"/>
      </w:divBdr>
    </w:div>
    <w:div w:id="954019253">
      <w:bodyDiv w:val="1"/>
      <w:marLeft w:val="0"/>
      <w:marRight w:val="0"/>
      <w:marTop w:val="0"/>
      <w:marBottom w:val="0"/>
      <w:divBdr>
        <w:top w:val="none" w:sz="0" w:space="0" w:color="auto"/>
        <w:left w:val="none" w:sz="0" w:space="0" w:color="auto"/>
        <w:bottom w:val="none" w:sz="0" w:space="0" w:color="auto"/>
        <w:right w:val="none" w:sz="0" w:space="0" w:color="auto"/>
      </w:divBdr>
    </w:div>
    <w:div w:id="965548879">
      <w:bodyDiv w:val="1"/>
      <w:marLeft w:val="0"/>
      <w:marRight w:val="0"/>
      <w:marTop w:val="0"/>
      <w:marBottom w:val="0"/>
      <w:divBdr>
        <w:top w:val="none" w:sz="0" w:space="0" w:color="auto"/>
        <w:left w:val="none" w:sz="0" w:space="0" w:color="auto"/>
        <w:bottom w:val="none" w:sz="0" w:space="0" w:color="auto"/>
        <w:right w:val="none" w:sz="0" w:space="0" w:color="auto"/>
      </w:divBdr>
    </w:div>
    <w:div w:id="981272529">
      <w:bodyDiv w:val="1"/>
      <w:marLeft w:val="0"/>
      <w:marRight w:val="0"/>
      <w:marTop w:val="0"/>
      <w:marBottom w:val="0"/>
      <w:divBdr>
        <w:top w:val="none" w:sz="0" w:space="0" w:color="auto"/>
        <w:left w:val="none" w:sz="0" w:space="0" w:color="auto"/>
        <w:bottom w:val="none" w:sz="0" w:space="0" w:color="auto"/>
        <w:right w:val="none" w:sz="0" w:space="0" w:color="auto"/>
      </w:divBdr>
    </w:div>
    <w:div w:id="1002660869">
      <w:bodyDiv w:val="1"/>
      <w:marLeft w:val="0"/>
      <w:marRight w:val="0"/>
      <w:marTop w:val="0"/>
      <w:marBottom w:val="0"/>
      <w:divBdr>
        <w:top w:val="none" w:sz="0" w:space="0" w:color="auto"/>
        <w:left w:val="none" w:sz="0" w:space="0" w:color="auto"/>
        <w:bottom w:val="none" w:sz="0" w:space="0" w:color="auto"/>
        <w:right w:val="none" w:sz="0" w:space="0" w:color="auto"/>
      </w:divBdr>
      <w:divsChild>
        <w:div w:id="470901982">
          <w:marLeft w:val="1742"/>
          <w:marRight w:val="0"/>
          <w:marTop w:val="0"/>
          <w:marBottom w:val="101"/>
          <w:divBdr>
            <w:top w:val="none" w:sz="0" w:space="0" w:color="auto"/>
            <w:left w:val="none" w:sz="0" w:space="0" w:color="auto"/>
            <w:bottom w:val="none" w:sz="0" w:space="0" w:color="auto"/>
            <w:right w:val="none" w:sz="0" w:space="0" w:color="auto"/>
          </w:divBdr>
        </w:div>
        <w:div w:id="1088385830">
          <w:marLeft w:val="1742"/>
          <w:marRight w:val="0"/>
          <w:marTop w:val="0"/>
          <w:marBottom w:val="101"/>
          <w:divBdr>
            <w:top w:val="none" w:sz="0" w:space="0" w:color="auto"/>
            <w:left w:val="none" w:sz="0" w:space="0" w:color="auto"/>
            <w:bottom w:val="none" w:sz="0" w:space="0" w:color="auto"/>
            <w:right w:val="none" w:sz="0" w:space="0" w:color="auto"/>
          </w:divBdr>
        </w:div>
        <w:div w:id="270823533">
          <w:marLeft w:val="1742"/>
          <w:marRight w:val="0"/>
          <w:marTop w:val="0"/>
          <w:marBottom w:val="101"/>
          <w:divBdr>
            <w:top w:val="none" w:sz="0" w:space="0" w:color="auto"/>
            <w:left w:val="none" w:sz="0" w:space="0" w:color="auto"/>
            <w:bottom w:val="none" w:sz="0" w:space="0" w:color="auto"/>
            <w:right w:val="none" w:sz="0" w:space="0" w:color="auto"/>
          </w:divBdr>
        </w:div>
      </w:divsChild>
    </w:div>
    <w:div w:id="1012488823">
      <w:bodyDiv w:val="1"/>
      <w:marLeft w:val="0"/>
      <w:marRight w:val="0"/>
      <w:marTop w:val="0"/>
      <w:marBottom w:val="0"/>
      <w:divBdr>
        <w:top w:val="none" w:sz="0" w:space="0" w:color="auto"/>
        <w:left w:val="none" w:sz="0" w:space="0" w:color="auto"/>
        <w:bottom w:val="none" w:sz="0" w:space="0" w:color="auto"/>
        <w:right w:val="none" w:sz="0" w:space="0" w:color="auto"/>
      </w:divBdr>
    </w:div>
    <w:div w:id="1064721294">
      <w:bodyDiv w:val="1"/>
      <w:marLeft w:val="0"/>
      <w:marRight w:val="0"/>
      <w:marTop w:val="0"/>
      <w:marBottom w:val="0"/>
      <w:divBdr>
        <w:top w:val="none" w:sz="0" w:space="0" w:color="auto"/>
        <w:left w:val="none" w:sz="0" w:space="0" w:color="auto"/>
        <w:bottom w:val="none" w:sz="0" w:space="0" w:color="auto"/>
        <w:right w:val="none" w:sz="0" w:space="0" w:color="auto"/>
      </w:divBdr>
    </w:div>
    <w:div w:id="1070886373">
      <w:bodyDiv w:val="1"/>
      <w:marLeft w:val="0"/>
      <w:marRight w:val="0"/>
      <w:marTop w:val="0"/>
      <w:marBottom w:val="0"/>
      <w:divBdr>
        <w:top w:val="none" w:sz="0" w:space="0" w:color="auto"/>
        <w:left w:val="none" w:sz="0" w:space="0" w:color="auto"/>
        <w:bottom w:val="none" w:sz="0" w:space="0" w:color="auto"/>
        <w:right w:val="none" w:sz="0" w:space="0" w:color="auto"/>
      </w:divBdr>
    </w:div>
    <w:div w:id="1100876617">
      <w:bodyDiv w:val="1"/>
      <w:marLeft w:val="0"/>
      <w:marRight w:val="0"/>
      <w:marTop w:val="0"/>
      <w:marBottom w:val="0"/>
      <w:divBdr>
        <w:top w:val="none" w:sz="0" w:space="0" w:color="auto"/>
        <w:left w:val="none" w:sz="0" w:space="0" w:color="auto"/>
        <w:bottom w:val="none" w:sz="0" w:space="0" w:color="auto"/>
        <w:right w:val="none" w:sz="0" w:space="0" w:color="auto"/>
      </w:divBdr>
    </w:div>
    <w:div w:id="1143811206">
      <w:bodyDiv w:val="1"/>
      <w:marLeft w:val="0"/>
      <w:marRight w:val="0"/>
      <w:marTop w:val="0"/>
      <w:marBottom w:val="0"/>
      <w:divBdr>
        <w:top w:val="none" w:sz="0" w:space="0" w:color="auto"/>
        <w:left w:val="none" w:sz="0" w:space="0" w:color="auto"/>
        <w:bottom w:val="none" w:sz="0" w:space="0" w:color="auto"/>
        <w:right w:val="none" w:sz="0" w:space="0" w:color="auto"/>
      </w:divBdr>
    </w:div>
    <w:div w:id="1182818581">
      <w:bodyDiv w:val="1"/>
      <w:marLeft w:val="0"/>
      <w:marRight w:val="0"/>
      <w:marTop w:val="0"/>
      <w:marBottom w:val="0"/>
      <w:divBdr>
        <w:top w:val="none" w:sz="0" w:space="0" w:color="auto"/>
        <w:left w:val="none" w:sz="0" w:space="0" w:color="auto"/>
        <w:bottom w:val="none" w:sz="0" w:space="0" w:color="auto"/>
        <w:right w:val="none" w:sz="0" w:space="0" w:color="auto"/>
      </w:divBdr>
    </w:div>
    <w:div w:id="1183595657">
      <w:bodyDiv w:val="1"/>
      <w:marLeft w:val="0"/>
      <w:marRight w:val="0"/>
      <w:marTop w:val="0"/>
      <w:marBottom w:val="0"/>
      <w:divBdr>
        <w:top w:val="none" w:sz="0" w:space="0" w:color="auto"/>
        <w:left w:val="none" w:sz="0" w:space="0" w:color="auto"/>
        <w:bottom w:val="none" w:sz="0" w:space="0" w:color="auto"/>
        <w:right w:val="none" w:sz="0" w:space="0" w:color="auto"/>
      </w:divBdr>
    </w:div>
    <w:div w:id="1185559689">
      <w:bodyDiv w:val="1"/>
      <w:marLeft w:val="0"/>
      <w:marRight w:val="0"/>
      <w:marTop w:val="0"/>
      <w:marBottom w:val="0"/>
      <w:divBdr>
        <w:top w:val="none" w:sz="0" w:space="0" w:color="auto"/>
        <w:left w:val="none" w:sz="0" w:space="0" w:color="auto"/>
        <w:bottom w:val="none" w:sz="0" w:space="0" w:color="auto"/>
        <w:right w:val="none" w:sz="0" w:space="0" w:color="auto"/>
      </w:divBdr>
    </w:div>
    <w:div w:id="1259173238">
      <w:bodyDiv w:val="1"/>
      <w:marLeft w:val="0"/>
      <w:marRight w:val="0"/>
      <w:marTop w:val="0"/>
      <w:marBottom w:val="0"/>
      <w:divBdr>
        <w:top w:val="none" w:sz="0" w:space="0" w:color="auto"/>
        <w:left w:val="none" w:sz="0" w:space="0" w:color="auto"/>
        <w:bottom w:val="none" w:sz="0" w:space="0" w:color="auto"/>
        <w:right w:val="none" w:sz="0" w:space="0" w:color="auto"/>
      </w:divBdr>
    </w:div>
    <w:div w:id="1264916390">
      <w:bodyDiv w:val="1"/>
      <w:marLeft w:val="0"/>
      <w:marRight w:val="0"/>
      <w:marTop w:val="0"/>
      <w:marBottom w:val="0"/>
      <w:divBdr>
        <w:top w:val="none" w:sz="0" w:space="0" w:color="auto"/>
        <w:left w:val="none" w:sz="0" w:space="0" w:color="auto"/>
        <w:bottom w:val="none" w:sz="0" w:space="0" w:color="auto"/>
        <w:right w:val="none" w:sz="0" w:space="0" w:color="auto"/>
      </w:divBdr>
    </w:div>
    <w:div w:id="1270896606">
      <w:bodyDiv w:val="1"/>
      <w:marLeft w:val="0"/>
      <w:marRight w:val="0"/>
      <w:marTop w:val="0"/>
      <w:marBottom w:val="0"/>
      <w:divBdr>
        <w:top w:val="none" w:sz="0" w:space="0" w:color="auto"/>
        <w:left w:val="none" w:sz="0" w:space="0" w:color="auto"/>
        <w:bottom w:val="none" w:sz="0" w:space="0" w:color="auto"/>
        <w:right w:val="none" w:sz="0" w:space="0" w:color="auto"/>
      </w:divBdr>
    </w:div>
    <w:div w:id="1370377740">
      <w:bodyDiv w:val="1"/>
      <w:marLeft w:val="0"/>
      <w:marRight w:val="0"/>
      <w:marTop w:val="0"/>
      <w:marBottom w:val="0"/>
      <w:divBdr>
        <w:top w:val="none" w:sz="0" w:space="0" w:color="auto"/>
        <w:left w:val="none" w:sz="0" w:space="0" w:color="auto"/>
        <w:bottom w:val="none" w:sz="0" w:space="0" w:color="auto"/>
        <w:right w:val="none" w:sz="0" w:space="0" w:color="auto"/>
      </w:divBdr>
    </w:div>
    <w:div w:id="1393193415">
      <w:bodyDiv w:val="1"/>
      <w:marLeft w:val="0"/>
      <w:marRight w:val="0"/>
      <w:marTop w:val="0"/>
      <w:marBottom w:val="0"/>
      <w:divBdr>
        <w:top w:val="none" w:sz="0" w:space="0" w:color="auto"/>
        <w:left w:val="none" w:sz="0" w:space="0" w:color="auto"/>
        <w:bottom w:val="none" w:sz="0" w:space="0" w:color="auto"/>
        <w:right w:val="none" w:sz="0" w:space="0" w:color="auto"/>
      </w:divBdr>
    </w:div>
    <w:div w:id="1405954413">
      <w:bodyDiv w:val="1"/>
      <w:marLeft w:val="0"/>
      <w:marRight w:val="0"/>
      <w:marTop w:val="0"/>
      <w:marBottom w:val="0"/>
      <w:divBdr>
        <w:top w:val="none" w:sz="0" w:space="0" w:color="auto"/>
        <w:left w:val="none" w:sz="0" w:space="0" w:color="auto"/>
        <w:bottom w:val="none" w:sz="0" w:space="0" w:color="auto"/>
        <w:right w:val="none" w:sz="0" w:space="0" w:color="auto"/>
      </w:divBdr>
    </w:div>
    <w:div w:id="1410152852">
      <w:bodyDiv w:val="1"/>
      <w:marLeft w:val="0"/>
      <w:marRight w:val="0"/>
      <w:marTop w:val="0"/>
      <w:marBottom w:val="0"/>
      <w:divBdr>
        <w:top w:val="none" w:sz="0" w:space="0" w:color="auto"/>
        <w:left w:val="none" w:sz="0" w:space="0" w:color="auto"/>
        <w:bottom w:val="none" w:sz="0" w:space="0" w:color="auto"/>
        <w:right w:val="none" w:sz="0" w:space="0" w:color="auto"/>
      </w:divBdr>
    </w:div>
    <w:div w:id="1411463733">
      <w:bodyDiv w:val="1"/>
      <w:marLeft w:val="0"/>
      <w:marRight w:val="0"/>
      <w:marTop w:val="0"/>
      <w:marBottom w:val="0"/>
      <w:divBdr>
        <w:top w:val="none" w:sz="0" w:space="0" w:color="auto"/>
        <w:left w:val="none" w:sz="0" w:space="0" w:color="auto"/>
        <w:bottom w:val="none" w:sz="0" w:space="0" w:color="auto"/>
        <w:right w:val="none" w:sz="0" w:space="0" w:color="auto"/>
      </w:divBdr>
    </w:div>
    <w:div w:id="1459226878">
      <w:bodyDiv w:val="1"/>
      <w:marLeft w:val="0"/>
      <w:marRight w:val="0"/>
      <w:marTop w:val="0"/>
      <w:marBottom w:val="0"/>
      <w:divBdr>
        <w:top w:val="none" w:sz="0" w:space="0" w:color="auto"/>
        <w:left w:val="none" w:sz="0" w:space="0" w:color="auto"/>
        <w:bottom w:val="none" w:sz="0" w:space="0" w:color="auto"/>
        <w:right w:val="none" w:sz="0" w:space="0" w:color="auto"/>
      </w:divBdr>
    </w:div>
    <w:div w:id="1544638943">
      <w:bodyDiv w:val="1"/>
      <w:marLeft w:val="0"/>
      <w:marRight w:val="0"/>
      <w:marTop w:val="0"/>
      <w:marBottom w:val="0"/>
      <w:divBdr>
        <w:top w:val="none" w:sz="0" w:space="0" w:color="auto"/>
        <w:left w:val="none" w:sz="0" w:space="0" w:color="auto"/>
        <w:bottom w:val="none" w:sz="0" w:space="0" w:color="auto"/>
        <w:right w:val="none" w:sz="0" w:space="0" w:color="auto"/>
      </w:divBdr>
    </w:div>
    <w:div w:id="1558739647">
      <w:bodyDiv w:val="1"/>
      <w:marLeft w:val="0"/>
      <w:marRight w:val="0"/>
      <w:marTop w:val="0"/>
      <w:marBottom w:val="0"/>
      <w:divBdr>
        <w:top w:val="none" w:sz="0" w:space="0" w:color="auto"/>
        <w:left w:val="none" w:sz="0" w:space="0" w:color="auto"/>
        <w:bottom w:val="none" w:sz="0" w:space="0" w:color="auto"/>
        <w:right w:val="none" w:sz="0" w:space="0" w:color="auto"/>
      </w:divBdr>
    </w:div>
    <w:div w:id="1610428178">
      <w:bodyDiv w:val="1"/>
      <w:marLeft w:val="0"/>
      <w:marRight w:val="0"/>
      <w:marTop w:val="0"/>
      <w:marBottom w:val="0"/>
      <w:divBdr>
        <w:top w:val="none" w:sz="0" w:space="0" w:color="auto"/>
        <w:left w:val="none" w:sz="0" w:space="0" w:color="auto"/>
        <w:bottom w:val="none" w:sz="0" w:space="0" w:color="auto"/>
        <w:right w:val="none" w:sz="0" w:space="0" w:color="auto"/>
      </w:divBdr>
    </w:div>
    <w:div w:id="1612129704">
      <w:bodyDiv w:val="1"/>
      <w:marLeft w:val="0"/>
      <w:marRight w:val="0"/>
      <w:marTop w:val="0"/>
      <w:marBottom w:val="0"/>
      <w:divBdr>
        <w:top w:val="none" w:sz="0" w:space="0" w:color="auto"/>
        <w:left w:val="none" w:sz="0" w:space="0" w:color="auto"/>
        <w:bottom w:val="none" w:sz="0" w:space="0" w:color="auto"/>
        <w:right w:val="none" w:sz="0" w:space="0" w:color="auto"/>
      </w:divBdr>
    </w:div>
    <w:div w:id="1626229998">
      <w:bodyDiv w:val="1"/>
      <w:marLeft w:val="0"/>
      <w:marRight w:val="0"/>
      <w:marTop w:val="0"/>
      <w:marBottom w:val="0"/>
      <w:divBdr>
        <w:top w:val="none" w:sz="0" w:space="0" w:color="auto"/>
        <w:left w:val="none" w:sz="0" w:space="0" w:color="auto"/>
        <w:bottom w:val="none" w:sz="0" w:space="0" w:color="auto"/>
        <w:right w:val="none" w:sz="0" w:space="0" w:color="auto"/>
      </w:divBdr>
    </w:div>
    <w:div w:id="1628970577">
      <w:bodyDiv w:val="1"/>
      <w:marLeft w:val="0"/>
      <w:marRight w:val="0"/>
      <w:marTop w:val="0"/>
      <w:marBottom w:val="0"/>
      <w:divBdr>
        <w:top w:val="none" w:sz="0" w:space="0" w:color="auto"/>
        <w:left w:val="none" w:sz="0" w:space="0" w:color="auto"/>
        <w:bottom w:val="none" w:sz="0" w:space="0" w:color="auto"/>
        <w:right w:val="none" w:sz="0" w:space="0" w:color="auto"/>
      </w:divBdr>
    </w:div>
    <w:div w:id="1634752324">
      <w:bodyDiv w:val="1"/>
      <w:marLeft w:val="0"/>
      <w:marRight w:val="0"/>
      <w:marTop w:val="0"/>
      <w:marBottom w:val="0"/>
      <w:divBdr>
        <w:top w:val="none" w:sz="0" w:space="0" w:color="auto"/>
        <w:left w:val="none" w:sz="0" w:space="0" w:color="auto"/>
        <w:bottom w:val="none" w:sz="0" w:space="0" w:color="auto"/>
        <w:right w:val="none" w:sz="0" w:space="0" w:color="auto"/>
      </w:divBdr>
    </w:div>
    <w:div w:id="1677226541">
      <w:bodyDiv w:val="1"/>
      <w:marLeft w:val="0"/>
      <w:marRight w:val="0"/>
      <w:marTop w:val="0"/>
      <w:marBottom w:val="0"/>
      <w:divBdr>
        <w:top w:val="none" w:sz="0" w:space="0" w:color="auto"/>
        <w:left w:val="none" w:sz="0" w:space="0" w:color="auto"/>
        <w:bottom w:val="none" w:sz="0" w:space="0" w:color="auto"/>
        <w:right w:val="none" w:sz="0" w:space="0" w:color="auto"/>
      </w:divBdr>
      <w:divsChild>
        <w:div w:id="322584974">
          <w:marLeft w:val="1296"/>
          <w:marRight w:val="0"/>
          <w:marTop w:val="0"/>
          <w:marBottom w:val="101"/>
          <w:divBdr>
            <w:top w:val="none" w:sz="0" w:space="0" w:color="auto"/>
            <w:left w:val="none" w:sz="0" w:space="0" w:color="auto"/>
            <w:bottom w:val="none" w:sz="0" w:space="0" w:color="auto"/>
            <w:right w:val="none" w:sz="0" w:space="0" w:color="auto"/>
          </w:divBdr>
        </w:div>
        <w:div w:id="1976400636">
          <w:marLeft w:val="1296"/>
          <w:marRight w:val="0"/>
          <w:marTop w:val="0"/>
          <w:marBottom w:val="101"/>
          <w:divBdr>
            <w:top w:val="none" w:sz="0" w:space="0" w:color="auto"/>
            <w:left w:val="none" w:sz="0" w:space="0" w:color="auto"/>
            <w:bottom w:val="none" w:sz="0" w:space="0" w:color="auto"/>
            <w:right w:val="none" w:sz="0" w:space="0" w:color="auto"/>
          </w:divBdr>
        </w:div>
        <w:div w:id="856307925">
          <w:marLeft w:val="1296"/>
          <w:marRight w:val="0"/>
          <w:marTop w:val="0"/>
          <w:marBottom w:val="101"/>
          <w:divBdr>
            <w:top w:val="none" w:sz="0" w:space="0" w:color="auto"/>
            <w:left w:val="none" w:sz="0" w:space="0" w:color="auto"/>
            <w:bottom w:val="none" w:sz="0" w:space="0" w:color="auto"/>
            <w:right w:val="none" w:sz="0" w:space="0" w:color="auto"/>
          </w:divBdr>
        </w:div>
        <w:div w:id="1310480118">
          <w:marLeft w:val="1296"/>
          <w:marRight w:val="0"/>
          <w:marTop w:val="0"/>
          <w:marBottom w:val="101"/>
          <w:divBdr>
            <w:top w:val="none" w:sz="0" w:space="0" w:color="auto"/>
            <w:left w:val="none" w:sz="0" w:space="0" w:color="auto"/>
            <w:bottom w:val="none" w:sz="0" w:space="0" w:color="auto"/>
            <w:right w:val="none" w:sz="0" w:space="0" w:color="auto"/>
          </w:divBdr>
        </w:div>
        <w:div w:id="1150098718">
          <w:marLeft w:val="1296"/>
          <w:marRight w:val="0"/>
          <w:marTop w:val="0"/>
          <w:marBottom w:val="101"/>
          <w:divBdr>
            <w:top w:val="none" w:sz="0" w:space="0" w:color="auto"/>
            <w:left w:val="none" w:sz="0" w:space="0" w:color="auto"/>
            <w:bottom w:val="none" w:sz="0" w:space="0" w:color="auto"/>
            <w:right w:val="none" w:sz="0" w:space="0" w:color="auto"/>
          </w:divBdr>
        </w:div>
        <w:div w:id="309138620">
          <w:marLeft w:val="1296"/>
          <w:marRight w:val="0"/>
          <w:marTop w:val="0"/>
          <w:marBottom w:val="101"/>
          <w:divBdr>
            <w:top w:val="none" w:sz="0" w:space="0" w:color="auto"/>
            <w:left w:val="none" w:sz="0" w:space="0" w:color="auto"/>
            <w:bottom w:val="none" w:sz="0" w:space="0" w:color="auto"/>
            <w:right w:val="none" w:sz="0" w:space="0" w:color="auto"/>
          </w:divBdr>
        </w:div>
        <w:div w:id="45223279">
          <w:marLeft w:val="1296"/>
          <w:marRight w:val="0"/>
          <w:marTop w:val="0"/>
          <w:marBottom w:val="101"/>
          <w:divBdr>
            <w:top w:val="none" w:sz="0" w:space="0" w:color="auto"/>
            <w:left w:val="none" w:sz="0" w:space="0" w:color="auto"/>
            <w:bottom w:val="none" w:sz="0" w:space="0" w:color="auto"/>
            <w:right w:val="none" w:sz="0" w:space="0" w:color="auto"/>
          </w:divBdr>
        </w:div>
        <w:div w:id="1529218591">
          <w:marLeft w:val="1296"/>
          <w:marRight w:val="0"/>
          <w:marTop w:val="0"/>
          <w:marBottom w:val="101"/>
          <w:divBdr>
            <w:top w:val="none" w:sz="0" w:space="0" w:color="auto"/>
            <w:left w:val="none" w:sz="0" w:space="0" w:color="auto"/>
            <w:bottom w:val="none" w:sz="0" w:space="0" w:color="auto"/>
            <w:right w:val="none" w:sz="0" w:space="0" w:color="auto"/>
          </w:divBdr>
        </w:div>
        <w:div w:id="1762871077">
          <w:marLeft w:val="1296"/>
          <w:marRight w:val="0"/>
          <w:marTop w:val="0"/>
          <w:marBottom w:val="101"/>
          <w:divBdr>
            <w:top w:val="none" w:sz="0" w:space="0" w:color="auto"/>
            <w:left w:val="none" w:sz="0" w:space="0" w:color="auto"/>
            <w:bottom w:val="none" w:sz="0" w:space="0" w:color="auto"/>
            <w:right w:val="none" w:sz="0" w:space="0" w:color="auto"/>
          </w:divBdr>
        </w:div>
        <w:div w:id="1803885724">
          <w:marLeft w:val="1296"/>
          <w:marRight w:val="0"/>
          <w:marTop w:val="0"/>
          <w:marBottom w:val="101"/>
          <w:divBdr>
            <w:top w:val="none" w:sz="0" w:space="0" w:color="auto"/>
            <w:left w:val="none" w:sz="0" w:space="0" w:color="auto"/>
            <w:bottom w:val="none" w:sz="0" w:space="0" w:color="auto"/>
            <w:right w:val="none" w:sz="0" w:space="0" w:color="auto"/>
          </w:divBdr>
        </w:div>
        <w:div w:id="543713302">
          <w:marLeft w:val="1296"/>
          <w:marRight w:val="0"/>
          <w:marTop w:val="0"/>
          <w:marBottom w:val="101"/>
          <w:divBdr>
            <w:top w:val="none" w:sz="0" w:space="0" w:color="auto"/>
            <w:left w:val="none" w:sz="0" w:space="0" w:color="auto"/>
            <w:bottom w:val="none" w:sz="0" w:space="0" w:color="auto"/>
            <w:right w:val="none" w:sz="0" w:space="0" w:color="auto"/>
          </w:divBdr>
        </w:div>
        <w:div w:id="1018235656">
          <w:marLeft w:val="1296"/>
          <w:marRight w:val="0"/>
          <w:marTop w:val="0"/>
          <w:marBottom w:val="101"/>
          <w:divBdr>
            <w:top w:val="none" w:sz="0" w:space="0" w:color="auto"/>
            <w:left w:val="none" w:sz="0" w:space="0" w:color="auto"/>
            <w:bottom w:val="none" w:sz="0" w:space="0" w:color="auto"/>
            <w:right w:val="none" w:sz="0" w:space="0" w:color="auto"/>
          </w:divBdr>
        </w:div>
        <w:div w:id="904951343">
          <w:marLeft w:val="1296"/>
          <w:marRight w:val="0"/>
          <w:marTop w:val="0"/>
          <w:marBottom w:val="101"/>
          <w:divBdr>
            <w:top w:val="none" w:sz="0" w:space="0" w:color="auto"/>
            <w:left w:val="none" w:sz="0" w:space="0" w:color="auto"/>
            <w:bottom w:val="none" w:sz="0" w:space="0" w:color="auto"/>
            <w:right w:val="none" w:sz="0" w:space="0" w:color="auto"/>
          </w:divBdr>
        </w:div>
        <w:div w:id="603997219">
          <w:marLeft w:val="1296"/>
          <w:marRight w:val="0"/>
          <w:marTop w:val="0"/>
          <w:marBottom w:val="101"/>
          <w:divBdr>
            <w:top w:val="none" w:sz="0" w:space="0" w:color="auto"/>
            <w:left w:val="none" w:sz="0" w:space="0" w:color="auto"/>
            <w:bottom w:val="none" w:sz="0" w:space="0" w:color="auto"/>
            <w:right w:val="none" w:sz="0" w:space="0" w:color="auto"/>
          </w:divBdr>
        </w:div>
        <w:div w:id="97531449">
          <w:marLeft w:val="1296"/>
          <w:marRight w:val="0"/>
          <w:marTop w:val="0"/>
          <w:marBottom w:val="101"/>
          <w:divBdr>
            <w:top w:val="none" w:sz="0" w:space="0" w:color="auto"/>
            <w:left w:val="none" w:sz="0" w:space="0" w:color="auto"/>
            <w:bottom w:val="none" w:sz="0" w:space="0" w:color="auto"/>
            <w:right w:val="none" w:sz="0" w:space="0" w:color="auto"/>
          </w:divBdr>
        </w:div>
        <w:div w:id="967661181">
          <w:marLeft w:val="1296"/>
          <w:marRight w:val="0"/>
          <w:marTop w:val="0"/>
          <w:marBottom w:val="101"/>
          <w:divBdr>
            <w:top w:val="none" w:sz="0" w:space="0" w:color="auto"/>
            <w:left w:val="none" w:sz="0" w:space="0" w:color="auto"/>
            <w:bottom w:val="none" w:sz="0" w:space="0" w:color="auto"/>
            <w:right w:val="none" w:sz="0" w:space="0" w:color="auto"/>
          </w:divBdr>
        </w:div>
        <w:div w:id="588084026">
          <w:marLeft w:val="1296"/>
          <w:marRight w:val="0"/>
          <w:marTop w:val="0"/>
          <w:marBottom w:val="101"/>
          <w:divBdr>
            <w:top w:val="none" w:sz="0" w:space="0" w:color="auto"/>
            <w:left w:val="none" w:sz="0" w:space="0" w:color="auto"/>
            <w:bottom w:val="none" w:sz="0" w:space="0" w:color="auto"/>
            <w:right w:val="none" w:sz="0" w:space="0" w:color="auto"/>
          </w:divBdr>
        </w:div>
        <w:div w:id="839078524">
          <w:marLeft w:val="1296"/>
          <w:marRight w:val="0"/>
          <w:marTop w:val="0"/>
          <w:marBottom w:val="101"/>
          <w:divBdr>
            <w:top w:val="none" w:sz="0" w:space="0" w:color="auto"/>
            <w:left w:val="none" w:sz="0" w:space="0" w:color="auto"/>
            <w:bottom w:val="none" w:sz="0" w:space="0" w:color="auto"/>
            <w:right w:val="none" w:sz="0" w:space="0" w:color="auto"/>
          </w:divBdr>
        </w:div>
        <w:div w:id="1972664317">
          <w:marLeft w:val="1296"/>
          <w:marRight w:val="0"/>
          <w:marTop w:val="0"/>
          <w:marBottom w:val="101"/>
          <w:divBdr>
            <w:top w:val="none" w:sz="0" w:space="0" w:color="auto"/>
            <w:left w:val="none" w:sz="0" w:space="0" w:color="auto"/>
            <w:bottom w:val="none" w:sz="0" w:space="0" w:color="auto"/>
            <w:right w:val="none" w:sz="0" w:space="0" w:color="auto"/>
          </w:divBdr>
        </w:div>
        <w:div w:id="1483042623">
          <w:marLeft w:val="1296"/>
          <w:marRight w:val="0"/>
          <w:marTop w:val="0"/>
          <w:marBottom w:val="101"/>
          <w:divBdr>
            <w:top w:val="none" w:sz="0" w:space="0" w:color="auto"/>
            <w:left w:val="none" w:sz="0" w:space="0" w:color="auto"/>
            <w:bottom w:val="none" w:sz="0" w:space="0" w:color="auto"/>
            <w:right w:val="none" w:sz="0" w:space="0" w:color="auto"/>
          </w:divBdr>
        </w:div>
        <w:div w:id="2027321202">
          <w:marLeft w:val="1296"/>
          <w:marRight w:val="0"/>
          <w:marTop w:val="0"/>
          <w:marBottom w:val="101"/>
          <w:divBdr>
            <w:top w:val="none" w:sz="0" w:space="0" w:color="auto"/>
            <w:left w:val="none" w:sz="0" w:space="0" w:color="auto"/>
            <w:bottom w:val="none" w:sz="0" w:space="0" w:color="auto"/>
            <w:right w:val="none" w:sz="0" w:space="0" w:color="auto"/>
          </w:divBdr>
        </w:div>
        <w:div w:id="208953052">
          <w:marLeft w:val="1296"/>
          <w:marRight w:val="0"/>
          <w:marTop w:val="0"/>
          <w:marBottom w:val="101"/>
          <w:divBdr>
            <w:top w:val="none" w:sz="0" w:space="0" w:color="auto"/>
            <w:left w:val="none" w:sz="0" w:space="0" w:color="auto"/>
            <w:bottom w:val="none" w:sz="0" w:space="0" w:color="auto"/>
            <w:right w:val="none" w:sz="0" w:space="0" w:color="auto"/>
          </w:divBdr>
        </w:div>
        <w:div w:id="844973996">
          <w:marLeft w:val="720"/>
          <w:marRight w:val="0"/>
          <w:marTop w:val="0"/>
          <w:marBottom w:val="101"/>
          <w:divBdr>
            <w:top w:val="none" w:sz="0" w:space="0" w:color="auto"/>
            <w:left w:val="none" w:sz="0" w:space="0" w:color="auto"/>
            <w:bottom w:val="none" w:sz="0" w:space="0" w:color="auto"/>
            <w:right w:val="none" w:sz="0" w:space="0" w:color="auto"/>
          </w:divBdr>
        </w:div>
        <w:div w:id="602035869">
          <w:marLeft w:val="1296"/>
          <w:marRight w:val="0"/>
          <w:marTop w:val="0"/>
          <w:marBottom w:val="101"/>
          <w:divBdr>
            <w:top w:val="none" w:sz="0" w:space="0" w:color="auto"/>
            <w:left w:val="none" w:sz="0" w:space="0" w:color="auto"/>
            <w:bottom w:val="none" w:sz="0" w:space="0" w:color="auto"/>
            <w:right w:val="none" w:sz="0" w:space="0" w:color="auto"/>
          </w:divBdr>
        </w:div>
        <w:div w:id="1828936737">
          <w:marLeft w:val="1742"/>
          <w:marRight w:val="0"/>
          <w:marTop w:val="0"/>
          <w:marBottom w:val="101"/>
          <w:divBdr>
            <w:top w:val="none" w:sz="0" w:space="0" w:color="auto"/>
            <w:left w:val="none" w:sz="0" w:space="0" w:color="auto"/>
            <w:bottom w:val="none" w:sz="0" w:space="0" w:color="auto"/>
            <w:right w:val="none" w:sz="0" w:space="0" w:color="auto"/>
          </w:divBdr>
        </w:div>
        <w:div w:id="2053384617">
          <w:marLeft w:val="1742"/>
          <w:marRight w:val="0"/>
          <w:marTop w:val="0"/>
          <w:marBottom w:val="101"/>
          <w:divBdr>
            <w:top w:val="none" w:sz="0" w:space="0" w:color="auto"/>
            <w:left w:val="none" w:sz="0" w:space="0" w:color="auto"/>
            <w:bottom w:val="none" w:sz="0" w:space="0" w:color="auto"/>
            <w:right w:val="none" w:sz="0" w:space="0" w:color="auto"/>
          </w:divBdr>
        </w:div>
        <w:div w:id="1577787857">
          <w:marLeft w:val="1742"/>
          <w:marRight w:val="0"/>
          <w:marTop w:val="0"/>
          <w:marBottom w:val="101"/>
          <w:divBdr>
            <w:top w:val="none" w:sz="0" w:space="0" w:color="auto"/>
            <w:left w:val="none" w:sz="0" w:space="0" w:color="auto"/>
            <w:bottom w:val="none" w:sz="0" w:space="0" w:color="auto"/>
            <w:right w:val="none" w:sz="0" w:space="0" w:color="auto"/>
          </w:divBdr>
        </w:div>
      </w:divsChild>
    </w:div>
    <w:div w:id="1782064131">
      <w:bodyDiv w:val="1"/>
      <w:marLeft w:val="0"/>
      <w:marRight w:val="0"/>
      <w:marTop w:val="0"/>
      <w:marBottom w:val="0"/>
      <w:divBdr>
        <w:top w:val="none" w:sz="0" w:space="0" w:color="auto"/>
        <w:left w:val="none" w:sz="0" w:space="0" w:color="auto"/>
        <w:bottom w:val="none" w:sz="0" w:space="0" w:color="auto"/>
        <w:right w:val="none" w:sz="0" w:space="0" w:color="auto"/>
      </w:divBdr>
    </w:div>
    <w:div w:id="1831824590">
      <w:bodyDiv w:val="1"/>
      <w:marLeft w:val="0"/>
      <w:marRight w:val="0"/>
      <w:marTop w:val="0"/>
      <w:marBottom w:val="0"/>
      <w:divBdr>
        <w:top w:val="none" w:sz="0" w:space="0" w:color="auto"/>
        <w:left w:val="none" w:sz="0" w:space="0" w:color="auto"/>
        <w:bottom w:val="none" w:sz="0" w:space="0" w:color="auto"/>
        <w:right w:val="none" w:sz="0" w:space="0" w:color="auto"/>
      </w:divBdr>
    </w:div>
    <w:div w:id="1841700598">
      <w:bodyDiv w:val="1"/>
      <w:marLeft w:val="0"/>
      <w:marRight w:val="0"/>
      <w:marTop w:val="0"/>
      <w:marBottom w:val="0"/>
      <w:divBdr>
        <w:top w:val="none" w:sz="0" w:space="0" w:color="auto"/>
        <w:left w:val="none" w:sz="0" w:space="0" w:color="auto"/>
        <w:bottom w:val="none" w:sz="0" w:space="0" w:color="auto"/>
        <w:right w:val="none" w:sz="0" w:space="0" w:color="auto"/>
      </w:divBdr>
    </w:div>
    <w:div w:id="1898465819">
      <w:bodyDiv w:val="1"/>
      <w:marLeft w:val="0"/>
      <w:marRight w:val="0"/>
      <w:marTop w:val="0"/>
      <w:marBottom w:val="0"/>
      <w:divBdr>
        <w:top w:val="none" w:sz="0" w:space="0" w:color="auto"/>
        <w:left w:val="none" w:sz="0" w:space="0" w:color="auto"/>
        <w:bottom w:val="none" w:sz="0" w:space="0" w:color="auto"/>
        <w:right w:val="none" w:sz="0" w:space="0" w:color="auto"/>
      </w:divBdr>
    </w:div>
    <w:div w:id="1993630657">
      <w:bodyDiv w:val="1"/>
      <w:marLeft w:val="0"/>
      <w:marRight w:val="0"/>
      <w:marTop w:val="0"/>
      <w:marBottom w:val="0"/>
      <w:divBdr>
        <w:top w:val="none" w:sz="0" w:space="0" w:color="auto"/>
        <w:left w:val="none" w:sz="0" w:space="0" w:color="auto"/>
        <w:bottom w:val="none" w:sz="0" w:space="0" w:color="auto"/>
        <w:right w:val="none" w:sz="0" w:space="0" w:color="auto"/>
      </w:divBdr>
    </w:div>
    <w:div w:id="2008436405">
      <w:bodyDiv w:val="1"/>
      <w:marLeft w:val="0"/>
      <w:marRight w:val="0"/>
      <w:marTop w:val="0"/>
      <w:marBottom w:val="0"/>
      <w:divBdr>
        <w:top w:val="none" w:sz="0" w:space="0" w:color="auto"/>
        <w:left w:val="none" w:sz="0" w:space="0" w:color="auto"/>
        <w:bottom w:val="none" w:sz="0" w:space="0" w:color="auto"/>
        <w:right w:val="none" w:sz="0" w:space="0" w:color="auto"/>
      </w:divBdr>
    </w:div>
    <w:div w:id="2013023376">
      <w:bodyDiv w:val="1"/>
      <w:marLeft w:val="0"/>
      <w:marRight w:val="0"/>
      <w:marTop w:val="0"/>
      <w:marBottom w:val="0"/>
      <w:divBdr>
        <w:top w:val="none" w:sz="0" w:space="0" w:color="auto"/>
        <w:left w:val="none" w:sz="0" w:space="0" w:color="auto"/>
        <w:bottom w:val="none" w:sz="0" w:space="0" w:color="auto"/>
        <w:right w:val="none" w:sz="0" w:space="0" w:color="auto"/>
      </w:divBdr>
    </w:div>
    <w:div w:id="2062240355">
      <w:bodyDiv w:val="1"/>
      <w:marLeft w:val="0"/>
      <w:marRight w:val="0"/>
      <w:marTop w:val="0"/>
      <w:marBottom w:val="0"/>
      <w:divBdr>
        <w:top w:val="none" w:sz="0" w:space="0" w:color="auto"/>
        <w:left w:val="none" w:sz="0" w:space="0" w:color="auto"/>
        <w:bottom w:val="none" w:sz="0" w:space="0" w:color="auto"/>
        <w:right w:val="none" w:sz="0" w:space="0" w:color="auto"/>
      </w:divBdr>
    </w:div>
    <w:div w:id="2107384309">
      <w:bodyDiv w:val="1"/>
      <w:marLeft w:val="0"/>
      <w:marRight w:val="0"/>
      <w:marTop w:val="0"/>
      <w:marBottom w:val="0"/>
      <w:divBdr>
        <w:top w:val="none" w:sz="0" w:space="0" w:color="auto"/>
        <w:left w:val="none" w:sz="0" w:space="0" w:color="auto"/>
        <w:bottom w:val="none" w:sz="0" w:space="0" w:color="auto"/>
        <w:right w:val="none" w:sz="0" w:space="0" w:color="auto"/>
      </w:divBdr>
    </w:div>
    <w:div w:id="2129884901">
      <w:bodyDiv w:val="1"/>
      <w:marLeft w:val="0"/>
      <w:marRight w:val="0"/>
      <w:marTop w:val="0"/>
      <w:marBottom w:val="0"/>
      <w:divBdr>
        <w:top w:val="none" w:sz="0" w:space="0" w:color="auto"/>
        <w:left w:val="none" w:sz="0" w:space="0" w:color="auto"/>
        <w:bottom w:val="none" w:sz="0" w:space="0" w:color="auto"/>
        <w:right w:val="none" w:sz="0" w:space="0" w:color="auto"/>
      </w:divBdr>
    </w:div>
    <w:div w:id="213517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yperlink" Target="http://www.coneval.gob.mx/rw/resource/coneval/eval_mon/normatividad_matriz/Modelo_de_terminos_de_referencia_evaluacion_diseno_final.pdf"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yperlink" Target="http://www.senado.gob.mx/comisiones/energia/docs/marco_LFPRH.pdf"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00D23-39C5-425C-A9C4-2CD4D005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40</Pages>
  <Words>12062</Words>
  <Characters>66345</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gaona</dc:creator>
  <cp:keywords/>
  <dc:description/>
  <cp:lastModifiedBy>guillermo gaona</cp:lastModifiedBy>
  <cp:revision>39</cp:revision>
  <dcterms:created xsi:type="dcterms:W3CDTF">2016-10-19T14:04:00Z</dcterms:created>
  <dcterms:modified xsi:type="dcterms:W3CDTF">2017-11-15T20:31:00Z</dcterms:modified>
</cp:coreProperties>
</file>