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3192B" w14:textId="77777777" w:rsidR="000C4A3D" w:rsidRDefault="000C4A3D" w:rsidP="00D6428C">
      <w:pPr>
        <w:pStyle w:val="Ttulo1"/>
      </w:pPr>
      <w:r>
        <w:t xml:space="preserve">Anexo </w:t>
      </w:r>
      <w:r w:rsidR="0091266F">
        <w:t xml:space="preserve">3: Formato de Aspectos </w:t>
      </w:r>
      <w:r w:rsidR="0091266F">
        <w:rPr>
          <w:lang w:val="es-ES_tradnl"/>
        </w:rPr>
        <w:t>Relevantes de la Evaluación</w:t>
      </w:r>
    </w:p>
    <w:p w14:paraId="03A9480A" w14:textId="77777777" w:rsidR="000C4A3D" w:rsidRDefault="000C4A3D" w:rsidP="00D6428C"/>
    <w:tbl>
      <w:tblPr>
        <w:tblW w:w="5000" w:type="pct"/>
        <w:tblBorders>
          <w:top w:val="single" w:sz="24" w:space="0" w:color="009DD9"/>
          <w:left w:val="single" w:sz="4" w:space="0" w:color="009DD9"/>
          <w:bottom w:val="single" w:sz="4" w:space="0" w:color="009DD9"/>
          <w:right w:val="single" w:sz="4" w:space="0" w:color="009DD9"/>
          <w:insideH w:val="single" w:sz="4" w:space="0" w:color="FFFFFF"/>
          <w:insideV w:val="single" w:sz="4" w:space="0" w:color="FFFFFF"/>
        </w:tblBorders>
        <w:tblLayout w:type="fixed"/>
        <w:tblLook w:val="00A0" w:firstRow="1" w:lastRow="0" w:firstColumn="1" w:lastColumn="0" w:noHBand="0" w:noVBand="0"/>
      </w:tblPr>
      <w:tblGrid>
        <w:gridCol w:w="1351"/>
        <w:gridCol w:w="968"/>
        <w:gridCol w:w="1662"/>
        <w:gridCol w:w="5365"/>
      </w:tblGrid>
      <w:tr w:rsidR="0091266F" w:rsidRPr="009A34C4" w14:paraId="11EC2BCE" w14:textId="77777777" w:rsidTr="0091266F">
        <w:trPr>
          <w:trHeight w:val="326"/>
          <w:tblHeader/>
        </w:trPr>
        <w:tc>
          <w:tcPr>
            <w:tcW w:w="1241" w:type="pct"/>
            <w:gridSpan w:val="2"/>
            <w:tcBorders>
              <w:top w:val="single" w:sz="8" w:space="0" w:color="002060"/>
              <w:left w:val="single" w:sz="4" w:space="0" w:color="073763"/>
              <w:bottom w:val="single" w:sz="8" w:space="0" w:color="002060"/>
              <w:right w:val="single" w:sz="4" w:space="0" w:color="073763"/>
            </w:tcBorders>
            <w:shd w:val="clear" w:color="auto" w:fill="0070C0"/>
            <w:vAlign w:val="center"/>
          </w:tcPr>
          <w:p w14:paraId="103D4AB4" w14:textId="77777777" w:rsidR="0091266F" w:rsidRPr="0091266F" w:rsidRDefault="0091266F" w:rsidP="00747B0D">
            <w:pPr>
              <w:spacing w:before="40"/>
              <w:jc w:val="center"/>
              <w:rPr>
                <w:b/>
                <w:bCs/>
                <w:color w:val="DBF5F9"/>
                <w:sz w:val="20"/>
                <w:szCs w:val="20"/>
                <w:lang w:val="es-ES_tradnl" w:eastAsia="ja-JP"/>
              </w:rPr>
            </w:pPr>
            <w:r w:rsidRPr="0091266F">
              <w:rPr>
                <w:b/>
                <w:bCs/>
                <w:color w:val="DBF5F9"/>
                <w:sz w:val="20"/>
                <w:szCs w:val="20"/>
                <w:lang w:val="es-ES_tradnl" w:eastAsia="ja-JP"/>
              </w:rPr>
              <w:t>Ramo</w:t>
            </w:r>
          </w:p>
        </w:tc>
        <w:tc>
          <w:tcPr>
            <w:tcW w:w="3759" w:type="pct"/>
            <w:gridSpan w:val="2"/>
            <w:tcBorders>
              <w:top w:val="single" w:sz="8" w:space="0" w:color="002060"/>
              <w:left w:val="single" w:sz="4" w:space="0" w:color="073763"/>
              <w:bottom w:val="single" w:sz="8" w:space="0" w:color="002060"/>
              <w:right w:val="single" w:sz="4" w:space="0" w:color="073763"/>
            </w:tcBorders>
            <w:shd w:val="clear" w:color="auto" w:fill="auto"/>
            <w:vAlign w:val="center"/>
          </w:tcPr>
          <w:p w14:paraId="1A678F2B" w14:textId="77777777" w:rsidR="0091266F" w:rsidRPr="0091266F" w:rsidRDefault="0091266F" w:rsidP="00747B0D">
            <w:pPr>
              <w:spacing w:before="40"/>
              <w:ind w:left="113" w:right="113"/>
              <w:jc w:val="center"/>
              <w:rPr>
                <w:b/>
                <w:bCs/>
                <w:color w:val="002060"/>
                <w:sz w:val="24"/>
                <w:szCs w:val="20"/>
                <w:lang w:val="es-ES_tradnl" w:eastAsia="ja-JP"/>
              </w:rPr>
            </w:pPr>
            <w:r w:rsidRPr="0091266F">
              <w:rPr>
                <w:b/>
                <w:bCs/>
                <w:color w:val="002060"/>
                <w:sz w:val="24"/>
                <w:szCs w:val="20"/>
                <w:lang w:val="es-ES_tradnl" w:eastAsia="ja-JP"/>
              </w:rPr>
              <w:t>09 – Comunicaciones y Transportes</w:t>
            </w:r>
          </w:p>
        </w:tc>
      </w:tr>
      <w:tr w:rsidR="0091266F" w:rsidRPr="009A34C4" w14:paraId="71B03C69" w14:textId="77777777" w:rsidTr="00CA1300">
        <w:trPr>
          <w:trHeight w:val="606"/>
        </w:trPr>
        <w:tc>
          <w:tcPr>
            <w:tcW w:w="723" w:type="pct"/>
            <w:tcBorders>
              <w:top w:val="single" w:sz="8" w:space="0" w:color="002060"/>
              <w:left w:val="single" w:sz="4" w:space="0" w:color="073763"/>
              <w:bottom w:val="single" w:sz="8" w:space="0" w:color="002060"/>
              <w:right w:val="single" w:sz="4" w:space="0" w:color="073763"/>
            </w:tcBorders>
            <w:shd w:val="clear" w:color="auto" w:fill="0070C0"/>
            <w:vAlign w:val="center"/>
          </w:tcPr>
          <w:p w14:paraId="2C5946BE" w14:textId="51476696" w:rsidR="0091266F" w:rsidRPr="009A34C4" w:rsidRDefault="0091266F" w:rsidP="00F96C18">
            <w:pPr>
              <w:spacing w:before="40"/>
              <w:jc w:val="center"/>
              <w:rPr>
                <w:b/>
                <w:bCs/>
                <w:color w:val="DBF5F9"/>
                <w:sz w:val="20"/>
                <w:szCs w:val="20"/>
                <w:lang w:val="es-ES_tradnl" w:eastAsia="ja-JP"/>
              </w:rPr>
            </w:pPr>
            <w:r>
              <w:rPr>
                <w:b/>
                <w:bCs/>
                <w:color w:val="DBF5F9"/>
                <w:sz w:val="20"/>
                <w:szCs w:val="20"/>
                <w:lang w:val="es-ES_tradnl" w:eastAsia="ja-JP"/>
              </w:rPr>
              <w:t>Clave del P</w:t>
            </w:r>
            <w:r w:rsidR="00F96C18">
              <w:rPr>
                <w:b/>
                <w:bCs/>
                <w:color w:val="DBF5F9"/>
                <w:sz w:val="20"/>
                <w:szCs w:val="20"/>
                <w:lang w:val="es-ES_tradnl" w:eastAsia="ja-JP"/>
              </w:rPr>
              <w:t>P</w:t>
            </w:r>
          </w:p>
        </w:tc>
        <w:tc>
          <w:tcPr>
            <w:tcW w:w="518" w:type="pct"/>
            <w:tcBorders>
              <w:top w:val="single" w:sz="8" w:space="0" w:color="002060"/>
              <w:left w:val="single" w:sz="4" w:space="0" w:color="073763"/>
              <w:bottom w:val="single" w:sz="8" w:space="0" w:color="002060"/>
              <w:right w:val="single" w:sz="4" w:space="0" w:color="073763"/>
            </w:tcBorders>
            <w:shd w:val="clear" w:color="auto" w:fill="auto"/>
            <w:vAlign w:val="center"/>
          </w:tcPr>
          <w:p w14:paraId="77FBB6BE" w14:textId="77777777" w:rsidR="0091266F" w:rsidRPr="0091266F" w:rsidRDefault="0091266F" w:rsidP="00747B0D">
            <w:pPr>
              <w:spacing w:before="40"/>
              <w:jc w:val="center"/>
              <w:rPr>
                <w:b/>
                <w:bCs/>
                <w:color w:val="DBF5F9"/>
                <w:sz w:val="28"/>
                <w:szCs w:val="20"/>
                <w:lang w:val="es-ES_tradnl" w:eastAsia="ja-JP"/>
              </w:rPr>
            </w:pPr>
            <w:r w:rsidRPr="0091266F">
              <w:rPr>
                <w:b/>
                <w:bCs/>
                <w:color w:val="002060"/>
                <w:sz w:val="28"/>
                <w:szCs w:val="20"/>
                <w:lang w:val="es-ES_tradnl" w:eastAsia="ja-JP"/>
              </w:rPr>
              <w:t>E022</w:t>
            </w:r>
          </w:p>
        </w:tc>
        <w:tc>
          <w:tcPr>
            <w:tcW w:w="889" w:type="pct"/>
            <w:tcBorders>
              <w:top w:val="single" w:sz="8" w:space="0" w:color="002060"/>
              <w:left w:val="single" w:sz="4" w:space="0" w:color="073763"/>
              <w:bottom w:val="single" w:sz="8" w:space="0" w:color="002060"/>
              <w:right w:val="single" w:sz="4" w:space="0" w:color="073763"/>
            </w:tcBorders>
            <w:shd w:val="clear" w:color="auto" w:fill="0070C0"/>
            <w:vAlign w:val="center"/>
          </w:tcPr>
          <w:p w14:paraId="0E9EA16B" w14:textId="77777777" w:rsidR="0091266F" w:rsidRPr="00CA1300" w:rsidRDefault="0091266F" w:rsidP="00747B0D">
            <w:pPr>
              <w:spacing w:before="40"/>
              <w:jc w:val="center"/>
              <w:rPr>
                <w:b/>
                <w:bCs/>
                <w:color w:val="DBF5F9"/>
                <w:sz w:val="20"/>
                <w:szCs w:val="20"/>
                <w:lang w:val="es-ES_tradnl" w:eastAsia="ja-JP"/>
              </w:rPr>
            </w:pPr>
            <w:r w:rsidRPr="00CA1300">
              <w:rPr>
                <w:b/>
                <w:bCs/>
                <w:color w:val="DBF5F9"/>
                <w:sz w:val="20"/>
                <w:szCs w:val="20"/>
                <w:lang w:val="es-ES_tradnl" w:eastAsia="ja-JP"/>
              </w:rPr>
              <w:t>Denominación del PP</w:t>
            </w:r>
          </w:p>
        </w:tc>
        <w:tc>
          <w:tcPr>
            <w:tcW w:w="2870" w:type="pct"/>
            <w:tcBorders>
              <w:top w:val="single" w:sz="8" w:space="0" w:color="002060"/>
              <w:left w:val="single" w:sz="4" w:space="0" w:color="073763"/>
              <w:bottom w:val="single" w:sz="8" w:space="0" w:color="002060"/>
              <w:right w:val="single" w:sz="4" w:space="0" w:color="073763"/>
            </w:tcBorders>
            <w:shd w:val="clear" w:color="auto" w:fill="auto"/>
            <w:vAlign w:val="center"/>
          </w:tcPr>
          <w:p w14:paraId="76A34C3A" w14:textId="77777777" w:rsidR="0091266F" w:rsidRPr="0091266F" w:rsidRDefault="0091266F" w:rsidP="0091266F">
            <w:pPr>
              <w:spacing w:before="40"/>
              <w:jc w:val="center"/>
              <w:rPr>
                <w:b/>
                <w:bCs/>
                <w:color w:val="002060"/>
                <w:sz w:val="20"/>
                <w:szCs w:val="20"/>
                <w:lang w:val="es-ES_tradnl" w:eastAsia="ja-JP"/>
              </w:rPr>
            </w:pPr>
            <w:r w:rsidRPr="0091266F">
              <w:rPr>
                <w:b/>
                <w:bCs/>
                <w:color w:val="002060"/>
                <w:sz w:val="20"/>
                <w:szCs w:val="20"/>
                <w:lang w:val="es-ES_tradnl" w:eastAsia="ja-JP"/>
              </w:rPr>
              <w:t>Operación y Conservación de Infraestructura Ferroviaria</w:t>
            </w:r>
          </w:p>
        </w:tc>
      </w:tr>
      <w:tr w:rsidR="0091266F" w:rsidRPr="009A34C4" w14:paraId="3A2CA3FF" w14:textId="77777777" w:rsidTr="00CA1300">
        <w:trPr>
          <w:trHeight w:val="532"/>
        </w:trPr>
        <w:tc>
          <w:tcPr>
            <w:tcW w:w="1241" w:type="pct"/>
            <w:gridSpan w:val="2"/>
            <w:tcBorders>
              <w:top w:val="single" w:sz="8" w:space="0" w:color="002060"/>
              <w:left w:val="single" w:sz="4" w:space="0" w:color="073763"/>
              <w:bottom w:val="single" w:sz="8" w:space="0" w:color="002060"/>
              <w:right w:val="single" w:sz="4" w:space="0" w:color="073763"/>
            </w:tcBorders>
            <w:shd w:val="clear" w:color="auto" w:fill="0070C0"/>
            <w:vAlign w:val="center"/>
          </w:tcPr>
          <w:p w14:paraId="110A855A" w14:textId="77777777" w:rsidR="0091266F" w:rsidRPr="0091266F" w:rsidRDefault="0091266F" w:rsidP="00747B0D">
            <w:pPr>
              <w:spacing w:before="40"/>
              <w:jc w:val="center"/>
              <w:rPr>
                <w:b/>
                <w:bCs/>
                <w:color w:val="002060"/>
                <w:sz w:val="28"/>
                <w:szCs w:val="20"/>
                <w:lang w:val="es-ES_tradnl" w:eastAsia="ja-JP"/>
              </w:rPr>
            </w:pPr>
            <w:r>
              <w:rPr>
                <w:b/>
                <w:bCs/>
                <w:color w:val="DBF5F9"/>
                <w:sz w:val="20"/>
                <w:szCs w:val="20"/>
                <w:lang w:val="es-ES_tradnl" w:eastAsia="ja-JP"/>
              </w:rPr>
              <w:t>Unidad Administrativa</w:t>
            </w:r>
          </w:p>
        </w:tc>
        <w:tc>
          <w:tcPr>
            <w:tcW w:w="3759" w:type="pct"/>
            <w:gridSpan w:val="2"/>
            <w:tcBorders>
              <w:top w:val="single" w:sz="8" w:space="0" w:color="002060"/>
              <w:left w:val="single" w:sz="4" w:space="0" w:color="073763"/>
              <w:bottom w:val="single" w:sz="8" w:space="0" w:color="002060"/>
              <w:right w:val="single" w:sz="4" w:space="0" w:color="073763"/>
            </w:tcBorders>
            <w:shd w:val="clear" w:color="auto" w:fill="auto"/>
            <w:vAlign w:val="center"/>
          </w:tcPr>
          <w:p w14:paraId="5BAA9540" w14:textId="77777777" w:rsidR="0091266F" w:rsidRPr="0091266F" w:rsidRDefault="0091266F" w:rsidP="0091266F">
            <w:pPr>
              <w:spacing w:before="40"/>
              <w:jc w:val="center"/>
              <w:rPr>
                <w:b/>
                <w:bCs/>
                <w:color w:val="002060"/>
                <w:sz w:val="20"/>
                <w:szCs w:val="20"/>
                <w:lang w:val="es-ES_tradnl" w:eastAsia="ja-JP"/>
              </w:rPr>
            </w:pPr>
            <w:r>
              <w:rPr>
                <w:b/>
                <w:bCs/>
                <w:color w:val="002060"/>
                <w:sz w:val="20"/>
                <w:szCs w:val="20"/>
                <w:lang w:val="es-ES_tradnl" w:eastAsia="ja-JP"/>
              </w:rPr>
              <w:t>J3L – Ferrocarril del Istmo de Tehuantepec, S.A de C.V.</w:t>
            </w:r>
          </w:p>
        </w:tc>
      </w:tr>
      <w:tr w:rsidR="00CA1300" w:rsidRPr="009A34C4" w14:paraId="5C61EE82" w14:textId="77777777" w:rsidTr="00CA1300">
        <w:trPr>
          <w:trHeight w:val="532"/>
        </w:trPr>
        <w:tc>
          <w:tcPr>
            <w:tcW w:w="2130" w:type="pct"/>
            <w:gridSpan w:val="3"/>
            <w:tcBorders>
              <w:top w:val="single" w:sz="8" w:space="0" w:color="002060"/>
              <w:left w:val="single" w:sz="4" w:space="0" w:color="073763"/>
              <w:bottom w:val="single" w:sz="8" w:space="0" w:color="002060"/>
              <w:right w:val="single" w:sz="4" w:space="0" w:color="073763"/>
            </w:tcBorders>
            <w:shd w:val="clear" w:color="auto" w:fill="0070C0"/>
            <w:vAlign w:val="center"/>
          </w:tcPr>
          <w:p w14:paraId="5D9C4F1E" w14:textId="77777777" w:rsidR="00CA1300" w:rsidRDefault="00CA1300" w:rsidP="0091266F">
            <w:pPr>
              <w:spacing w:before="40"/>
              <w:jc w:val="center"/>
              <w:rPr>
                <w:b/>
                <w:bCs/>
                <w:color w:val="002060"/>
                <w:sz w:val="20"/>
                <w:szCs w:val="20"/>
                <w:lang w:val="es-ES_tradnl" w:eastAsia="ja-JP"/>
              </w:rPr>
            </w:pPr>
            <w:r>
              <w:rPr>
                <w:b/>
                <w:bCs/>
                <w:color w:val="DBF5F9"/>
                <w:sz w:val="20"/>
                <w:szCs w:val="20"/>
                <w:lang w:val="es-ES_tradnl" w:eastAsia="ja-JP"/>
              </w:rPr>
              <w:t>Nombre del responsable de esta Unidad</w:t>
            </w:r>
          </w:p>
        </w:tc>
        <w:tc>
          <w:tcPr>
            <w:tcW w:w="2870" w:type="pct"/>
            <w:tcBorders>
              <w:top w:val="single" w:sz="8" w:space="0" w:color="002060"/>
              <w:left w:val="single" w:sz="4" w:space="0" w:color="073763"/>
              <w:bottom w:val="single" w:sz="8" w:space="0" w:color="002060"/>
              <w:right w:val="single" w:sz="4" w:space="0" w:color="073763"/>
            </w:tcBorders>
            <w:shd w:val="clear" w:color="auto" w:fill="auto"/>
            <w:vAlign w:val="center"/>
          </w:tcPr>
          <w:p w14:paraId="509417CD" w14:textId="77777777" w:rsidR="00CA1300" w:rsidRDefault="00CA1300" w:rsidP="0091266F">
            <w:pPr>
              <w:spacing w:before="40"/>
              <w:jc w:val="center"/>
              <w:rPr>
                <w:b/>
                <w:bCs/>
                <w:color w:val="002060"/>
                <w:sz w:val="20"/>
                <w:szCs w:val="20"/>
                <w:lang w:val="es-ES_tradnl" w:eastAsia="ja-JP"/>
              </w:rPr>
            </w:pPr>
            <w:r>
              <w:rPr>
                <w:b/>
                <w:bCs/>
                <w:color w:val="002060"/>
                <w:sz w:val="20"/>
                <w:szCs w:val="20"/>
                <w:lang w:val="es-ES_tradnl" w:eastAsia="ja-JP"/>
              </w:rPr>
              <w:t>Ing. Gustavo Baca Villanueva</w:t>
            </w:r>
          </w:p>
        </w:tc>
      </w:tr>
      <w:tr w:rsidR="00CA1300" w:rsidRPr="009A34C4" w14:paraId="33326168" w14:textId="77777777" w:rsidTr="00CA1300">
        <w:trPr>
          <w:trHeight w:val="532"/>
        </w:trPr>
        <w:tc>
          <w:tcPr>
            <w:tcW w:w="2130" w:type="pct"/>
            <w:gridSpan w:val="3"/>
            <w:tcBorders>
              <w:top w:val="single" w:sz="8" w:space="0" w:color="002060"/>
              <w:left w:val="single" w:sz="4" w:space="0" w:color="073763"/>
              <w:bottom w:val="single" w:sz="8" w:space="0" w:color="002060"/>
              <w:right w:val="single" w:sz="4" w:space="0" w:color="073763"/>
            </w:tcBorders>
            <w:shd w:val="clear" w:color="auto" w:fill="0070C0"/>
            <w:vAlign w:val="center"/>
          </w:tcPr>
          <w:p w14:paraId="3407E5AB" w14:textId="77777777" w:rsidR="00CA1300" w:rsidRDefault="00CA1300" w:rsidP="0091266F">
            <w:pPr>
              <w:spacing w:before="40"/>
              <w:jc w:val="center"/>
              <w:rPr>
                <w:b/>
                <w:bCs/>
                <w:color w:val="DBF5F9"/>
                <w:sz w:val="20"/>
                <w:szCs w:val="20"/>
                <w:lang w:val="es-ES_tradnl" w:eastAsia="ja-JP"/>
              </w:rPr>
            </w:pPr>
            <w:r>
              <w:rPr>
                <w:b/>
                <w:bCs/>
                <w:color w:val="DBF5F9"/>
                <w:sz w:val="20"/>
                <w:szCs w:val="20"/>
                <w:lang w:val="es-ES_tradnl" w:eastAsia="ja-JP"/>
              </w:rPr>
              <w:t>Tipo de Evaluación</w:t>
            </w:r>
          </w:p>
        </w:tc>
        <w:tc>
          <w:tcPr>
            <w:tcW w:w="2870" w:type="pct"/>
            <w:tcBorders>
              <w:top w:val="single" w:sz="8" w:space="0" w:color="002060"/>
              <w:left w:val="single" w:sz="4" w:space="0" w:color="073763"/>
              <w:bottom w:val="single" w:sz="8" w:space="0" w:color="002060"/>
              <w:right w:val="single" w:sz="4" w:space="0" w:color="073763"/>
            </w:tcBorders>
            <w:shd w:val="clear" w:color="auto" w:fill="auto"/>
            <w:vAlign w:val="center"/>
          </w:tcPr>
          <w:p w14:paraId="2E028EF0" w14:textId="1A14CB0B" w:rsidR="00CA1300" w:rsidRDefault="00CA1300" w:rsidP="0091266F">
            <w:pPr>
              <w:spacing w:before="40"/>
              <w:jc w:val="center"/>
              <w:rPr>
                <w:b/>
                <w:bCs/>
                <w:color w:val="002060"/>
                <w:sz w:val="20"/>
                <w:szCs w:val="20"/>
                <w:lang w:val="es-ES_tradnl" w:eastAsia="ja-JP"/>
              </w:rPr>
            </w:pPr>
            <w:r>
              <w:rPr>
                <w:b/>
                <w:bCs/>
                <w:color w:val="002060"/>
                <w:sz w:val="20"/>
                <w:szCs w:val="20"/>
                <w:lang w:val="es-ES_tradnl" w:eastAsia="ja-JP"/>
              </w:rPr>
              <w:t>Evaluación Específica</w:t>
            </w:r>
            <w:r w:rsidR="00CA0C7B">
              <w:rPr>
                <w:b/>
                <w:bCs/>
                <w:color w:val="002060"/>
                <w:sz w:val="20"/>
                <w:szCs w:val="20"/>
                <w:lang w:val="es-ES_tradnl" w:eastAsia="ja-JP"/>
              </w:rPr>
              <w:t xml:space="preserve"> y en Materia de Diseño</w:t>
            </w:r>
            <w:bookmarkStart w:id="0" w:name="_GoBack"/>
            <w:bookmarkEnd w:id="0"/>
          </w:p>
        </w:tc>
      </w:tr>
    </w:tbl>
    <w:p w14:paraId="2ECFB2EA" w14:textId="77777777" w:rsidR="00320871" w:rsidRDefault="00320871" w:rsidP="00320871"/>
    <w:p w14:paraId="710F9691" w14:textId="77777777" w:rsidR="00CA1300" w:rsidRDefault="00CA1300" w:rsidP="00320871"/>
    <w:p w14:paraId="7E103787" w14:textId="77777777" w:rsidR="00CA1300" w:rsidRDefault="00CA1300" w:rsidP="00CA1300">
      <w:pPr>
        <w:pStyle w:val="Ttulo2"/>
      </w:pPr>
      <w:r>
        <w:t>Descripción del Programa</w:t>
      </w:r>
    </w:p>
    <w:p w14:paraId="4F2F23D0" w14:textId="77777777" w:rsidR="00320871" w:rsidRDefault="00320871" w:rsidP="00320871"/>
    <w:p w14:paraId="5E7DC072" w14:textId="77777777" w:rsidR="00357ABE" w:rsidRDefault="00216641" w:rsidP="005B31BA">
      <w:pPr>
        <w:jc w:val="both"/>
      </w:pPr>
      <w:r>
        <w:t xml:space="preserve">El programa E022 “Operación y Conservación de Infraestructura Ferroviaria” </w:t>
      </w:r>
      <w:r w:rsidR="00AD24C7">
        <w:t xml:space="preserve">surgió de un proceso de reingeniería del gasto público en dónde para este programa se consideró la fusión de los programas E011 – Conservación de Infraestructura Ferroviaria y el E022 –Operación de Infraestructura Ferroviaria. </w:t>
      </w:r>
      <w:r w:rsidR="005B31BA">
        <w:t xml:space="preserve">El programa resultante </w:t>
      </w:r>
      <w:r w:rsidR="001431A9">
        <w:t>tiene como objetivo</w:t>
      </w:r>
      <w:r w:rsidR="005B31BA">
        <w:t xml:space="preserve"> la provisión de servicios de transporte ferroviario con la finalidad de promover el desarrollo económico regional.</w:t>
      </w:r>
    </w:p>
    <w:p w14:paraId="194CC61C" w14:textId="77777777" w:rsidR="008D7575" w:rsidRDefault="008D7575" w:rsidP="005B31BA">
      <w:pPr>
        <w:jc w:val="both"/>
      </w:pPr>
      <w:r>
        <w:t xml:space="preserve">El programa parte de la problemática de que cuenta </w:t>
      </w:r>
      <w:r w:rsidR="00985118">
        <w:t xml:space="preserve">con una infraestructura asignada e impuesta que no cuenta con las condiciones físicas adecuadas para la provisión del servicio de transporte, por lo que requiere de </w:t>
      </w:r>
      <w:r w:rsidR="00791435">
        <w:t>recursos para la rehabilitación, conservación y en su caso, el desarrollo de infraestructura para mejorar la operación, seguridad y la eficiencia del traslado de mercancías.</w:t>
      </w:r>
    </w:p>
    <w:p w14:paraId="3158DAD8" w14:textId="77777777" w:rsidR="001431A9" w:rsidRDefault="001431A9" w:rsidP="005B31BA">
      <w:pPr>
        <w:jc w:val="both"/>
      </w:pPr>
      <w:r>
        <w:t xml:space="preserve">De acuerdo a </w:t>
      </w:r>
      <w:r w:rsidR="00694877">
        <w:t>la</w:t>
      </w:r>
      <w:r>
        <w:t xml:space="preserve"> Matriz de Indicadores para Resultados (MIR)</w:t>
      </w:r>
      <w:r w:rsidR="00694877">
        <w:t xml:space="preserve"> propuesta en la evaluación</w:t>
      </w:r>
      <w:r>
        <w:t xml:space="preserve">, </w:t>
      </w:r>
      <w:r w:rsidR="00694877">
        <w:t xml:space="preserve">el propósito del programa resultante, es que </w:t>
      </w:r>
      <w:r w:rsidR="00694877" w:rsidRPr="00694877">
        <w:rPr>
          <w:i/>
        </w:rPr>
        <w:t>“Usuarios de la red ferroviaria asignada e impuesta al FIT, cuentan con una infraestructura en condiciones de uso seguro y eficiente”.</w:t>
      </w:r>
      <w:r w:rsidR="00694877">
        <w:t xml:space="preserve"> A su vez de acuerdo a la lógica vertical de la MIR, a través de su propósito, el programa busca </w:t>
      </w:r>
      <w:r w:rsidR="00694877" w:rsidRPr="00694877">
        <w:rPr>
          <w:i/>
        </w:rPr>
        <w:t>“Contribuir a desarrollar una infraestructura de transporte y logística multimodal que genere costos competitivos, mejore la seguridad e impulse el desarrollo económico y social mediante su conservación, modernización y rehabilitación en condiciones de uso seguro y eficiente”</w:t>
      </w:r>
      <w:r w:rsidR="00694877">
        <w:t>.</w:t>
      </w:r>
    </w:p>
    <w:p w14:paraId="38D04C90" w14:textId="17C28A51" w:rsidR="00694877" w:rsidRPr="00694877" w:rsidRDefault="00694877" w:rsidP="005B31BA">
      <w:pPr>
        <w:jc w:val="both"/>
      </w:pPr>
      <w:r>
        <w:t xml:space="preserve">El programa se clasifica dentro de la función de Desarrollo Económico, </w:t>
      </w:r>
      <w:r w:rsidR="008D7575">
        <w:t>por lo que no cuenta con Reglas de Operación para su funcion</w:t>
      </w:r>
      <w:r w:rsidR="00ED3549">
        <w:t>amiento y por lo anterior no cue</w:t>
      </w:r>
      <w:r w:rsidR="008D7575">
        <w:t xml:space="preserve">nta con un padrón de </w:t>
      </w:r>
      <w:r w:rsidR="008D7575">
        <w:lastRenderedPageBreak/>
        <w:t>beneficiarios identificado</w:t>
      </w:r>
      <w:r w:rsidR="008A3780">
        <w:t xml:space="preserve">; </w:t>
      </w:r>
      <w:r w:rsidR="008D7575">
        <w:t xml:space="preserve">en su lugar, el programa recolecta información sobre los usuarios que atiende y que demandan los servicios de transportación vía ferrocarril. </w:t>
      </w:r>
    </w:p>
    <w:p w14:paraId="2A15FDB7" w14:textId="20732A1C" w:rsidR="001431A9" w:rsidRDefault="00AB78A1" w:rsidP="005B31BA">
      <w:pPr>
        <w:jc w:val="both"/>
      </w:pPr>
      <w:r>
        <w:t xml:space="preserve">El programa, en su zona de influencia que son los estados de Veracruz, Tabasco, Yucatán, Chiapas y Oaxaca, presenta un impacto económico y </w:t>
      </w:r>
      <w:r w:rsidR="00016A49">
        <w:t>en algunos aspecto</w:t>
      </w:r>
      <w:r w:rsidR="0066143F">
        <w:t>s</w:t>
      </w:r>
      <w:r w:rsidR="00016A49">
        <w:t xml:space="preserve">, también </w:t>
      </w:r>
      <w:r>
        <w:t>social. Por un lado</w:t>
      </w:r>
      <w:r w:rsidR="008A3780">
        <w:t>,</w:t>
      </w:r>
      <w:r>
        <w:t xml:space="preserve"> se observa la incidencia en la actividad económica de las entidades </w:t>
      </w:r>
      <w:r w:rsidR="00E50E9B">
        <w:t>medida a través de la evolución del PIB ferroviario que llegó a tener un crecimiento de hasta el 7</w:t>
      </w:r>
      <w:r w:rsidR="008A3780">
        <w:t xml:space="preserve"> </w:t>
      </w:r>
      <w:r w:rsidR="00E50E9B">
        <w:t>%, lo que a su vez se traduce en un incremento de la competitividad tanto en el sector transporte en su conjunto como en el subsector ferroviario, con lo que nuestro país se mantiene en niveles similares a los de nuestros principales socios comerciales.</w:t>
      </w:r>
      <w:r w:rsidR="00016A49">
        <w:t xml:space="preserve"> La operación del FIT presenta un potencial importante, por encontrarse en una zona estratégica de nuestro país en dónde se podría detonar de manera importante la actividad económica.</w:t>
      </w:r>
    </w:p>
    <w:p w14:paraId="28B3214F" w14:textId="77777777" w:rsidR="00016A49" w:rsidRDefault="00016A49" w:rsidP="005B31BA">
      <w:pPr>
        <w:jc w:val="both"/>
      </w:pPr>
    </w:p>
    <w:p w14:paraId="7B11A6A4" w14:textId="77777777" w:rsidR="004C1381" w:rsidRDefault="004C1381" w:rsidP="004C1381">
      <w:pPr>
        <w:pStyle w:val="Ttulo2"/>
      </w:pPr>
      <w:r>
        <w:t>Propósito de la Evaluación y Objetivos Principales</w:t>
      </w:r>
    </w:p>
    <w:p w14:paraId="6F32E4B3" w14:textId="77777777" w:rsidR="00357ABE" w:rsidRDefault="00357ABE" w:rsidP="005B31BA">
      <w:pPr>
        <w:jc w:val="both"/>
      </w:pPr>
    </w:p>
    <w:p w14:paraId="0E7CA270" w14:textId="22EF0ED3" w:rsidR="004C1381" w:rsidRDefault="004C1381" w:rsidP="005B31BA">
      <w:pPr>
        <w:jc w:val="both"/>
      </w:pPr>
      <w:r>
        <w:t xml:space="preserve">El propósito de la evaluación se centró en </w:t>
      </w:r>
      <w:r w:rsidR="008A3780">
        <w:t>contrastar,</w:t>
      </w:r>
      <w:r>
        <w:t xml:space="preserve"> por un lado, los recursos destinados a los programas E011 y E022 que se referían a la Conservación de la Infraestructura Ferroviaria y por otro lado a la Operación de </w:t>
      </w:r>
      <w:r w:rsidR="005B5DD5">
        <w:t>esta</w:t>
      </w:r>
      <w:r>
        <w:t>, y por el otro los resultados independientes de la ejecución de ambos programas.</w:t>
      </w:r>
    </w:p>
    <w:p w14:paraId="5E705C75" w14:textId="77777777" w:rsidR="005B5DD5" w:rsidRDefault="005B5DD5" w:rsidP="005B31BA">
      <w:pPr>
        <w:jc w:val="both"/>
      </w:pPr>
      <w:r>
        <w:t>A su vez, los principales objetivos que persiguió la investigación fueron:</w:t>
      </w:r>
    </w:p>
    <w:p w14:paraId="1797D012" w14:textId="109A7ABA" w:rsidR="005B5DD5" w:rsidRPr="005B5DD5" w:rsidRDefault="005B5DD5" w:rsidP="005B5DD5">
      <w:pPr>
        <w:pStyle w:val="Prrafodelista"/>
        <w:numPr>
          <w:ilvl w:val="0"/>
          <w:numId w:val="10"/>
        </w:numPr>
        <w:jc w:val="both"/>
        <w:rPr>
          <w:color w:val="auto"/>
        </w:rPr>
      </w:pPr>
      <w:r w:rsidRPr="005B5DD5">
        <w:rPr>
          <w:color w:val="auto"/>
        </w:rPr>
        <w:t xml:space="preserve">Verificar que la planeación estratégica (diseño institucional) del programa </w:t>
      </w:r>
      <w:r>
        <w:rPr>
          <w:color w:val="auto"/>
        </w:rPr>
        <w:t xml:space="preserve">que surgió de la fusión del E011 y E012 </w:t>
      </w:r>
      <w:r w:rsidRPr="005B5DD5">
        <w:rPr>
          <w:color w:val="auto"/>
        </w:rPr>
        <w:t>corresponda con la operación del mismo</w:t>
      </w:r>
      <w:r w:rsidR="008A3780">
        <w:rPr>
          <w:color w:val="auto"/>
        </w:rPr>
        <w:t>.</w:t>
      </w:r>
    </w:p>
    <w:p w14:paraId="3615F4AB" w14:textId="77777777" w:rsidR="005B5DD5" w:rsidRDefault="005B5DD5" w:rsidP="005B5DD5">
      <w:pPr>
        <w:pStyle w:val="Prrafodelista"/>
        <w:numPr>
          <w:ilvl w:val="0"/>
          <w:numId w:val="10"/>
        </w:numPr>
        <w:jc w:val="both"/>
        <w:rPr>
          <w:color w:val="auto"/>
        </w:rPr>
      </w:pPr>
      <w:r w:rsidRPr="005B5DD5">
        <w:rPr>
          <w:color w:val="auto"/>
        </w:rPr>
        <w:t xml:space="preserve">Asegurar que se cumple con el propósito del programa definido en </w:t>
      </w:r>
      <w:r>
        <w:rPr>
          <w:color w:val="auto"/>
        </w:rPr>
        <w:t>su</w:t>
      </w:r>
      <w:r w:rsidRPr="005B5DD5">
        <w:rPr>
          <w:color w:val="auto"/>
        </w:rPr>
        <w:t xml:space="preserve"> Matriz de Indicadores para Resultados</w:t>
      </w:r>
      <w:r>
        <w:rPr>
          <w:color w:val="auto"/>
        </w:rPr>
        <w:t>.</w:t>
      </w:r>
    </w:p>
    <w:p w14:paraId="03580B75" w14:textId="77777777" w:rsidR="005B5DD5" w:rsidRPr="005B5DD5" w:rsidRDefault="005B5DD5" w:rsidP="005B5DD5">
      <w:pPr>
        <w:pStyle w:val="Prrafodelista"/>
        <w:numPr>
          <w:ilvl w:val="0"/>
          <w:numId w:val="10"/>
        </w:numPr>
        <w:jc w:val="both"/>
        <w:rPr>
          <w:color w:val="auto"/>
        </w:rPr>
      </w:pPr>
      <w:r>
        <w:rPr>
          <w:color w:val="auto"/>
        </w:rPr>
        <w:t>Corroborar que los indicadores diseñados para medir el desempeño del programa resultan relevantes.</w:t>
      </w:r>
    </w:p>
    <w:p w14:paraId="63BC37FB" w14:textId="6FF0FA10" w:rsidR="005B5DD5" w:rsidRDefault="005B5DD5" w:rsidP="005B5DD5">
      <w:pPr>
        <w:pStyle w:val="Prrafodelista"/>
        <w:numPr>
          <w:ilvl w:val="0"/>
          <w:numId w:val="10"/>
        </w:numPr>
        <w:jc w:val="both"/>
        <w:rPr>
          <w:color w:val="auto"/>
        </w:rPr>
      </w:pPr>
      <w:r>
        <w:rPr>
          <w:color w:val="auto"/>
        </w:rPr>
        <w:t>Analizar los costos incur</w:t>
      </w:r>
      <w:r w:rsidR="008A3780">
        <w:rPr>
          <w:color w:val="auto"/>
        </w:rPr>
        <w:t>ridos por el</w:t>
      </w:r>
      <w:r>
        <w:rPr>
          <w:color w:val="auto"/>
        </w:rPr>
        <w:t xml:space="preserve"> </w:t>
      </w:r>
      <w:r w:rsidR="008A3780">
        <w:rPr>
          <w:color w:val="auto"/>
        </w:rPr>
        <w:t>programa,</w:t>
      </w:r>
      <w:r>
        <w:rPr>
          <w:color w:val="auto"/>
        </w:rPr>
        <w:t xml:space="preserve"> así como los resultados obtenidos por el mismo.</w:t>
      </w:r>
    </w:p>
    <w:p w14:paraId="46BC8607" w14:textId="77777777" w:rsidR="005B5DD5" w:rsidRDefault="005B5DD5" w:rsidP="005B5DD5">
      <w:pPr>
        <w:pStyle w:val="Prrafodelista"/>
        <w:numPr>
          <w:ilvl w:val="0"/>
          <w:numId w:val="10"/>
        </w:numPr>
        <w:jc w:val="both"/>
        <w:rPr>
          <w:color w:val="auto"/>
        </w:rPr>
      </w:pPr>
      <w:r>
        <w:rPr>
          <w:color w:val="auto"/>
        </w:rPr>
        <w:t xml:space="preserve">Analizar </w:t>
      </w:r>
      <w:r w:rsidR="00836DCC">
        <w:rPr>
          <w:color w:val="auto"/>
        </w:rPr>
        <w:t>la forma en que se utilizaron los recursos para el logro de los objetivos del programa.</w:t>
      </w:r>
    </w:p>
    <w:p w14:paraId="496E9F52" w14:textId="77777777" w:rsidR="005B5DD5" w:rsidRDefault="005B5DD5" w:rsidP="005B5DD5">
      <w:pPr>
        <w:pStyle w:val="Prrafodelista"/>
        <w:numPr>
          <w:ilvl w:val="0"/>
          <w:numId w:val="10"/>
        </w:numPr>
        <w:jc w:val="both"/>
        <w:rPr>
          <w:color w:val="auto"/>
        </w:rPr>
      </w:pPr>
      <w:r w:rsidRPr="005B5DD5">
        <w:rPr>
          <w:color w:val="auto"/>
        </w:rPr>
        <w:t>Determinar si los resultados obtenidos en términos de transporte de mercancías</w:t>
      </w:r>
      <w:r w:rsidR="00836DCC">
        <w:rPr>
          <w:color w:val="auto"/>
        </w:rPr>
        <w:t xml:space="preserve">, utilización de su capacidad instalada, </w:t>
      </w:r>
      <w:r w:rsidRPr="005B5DD5">
        <w:rPr>
          <w:color w:val="auto"/>
        </w:rPr>
        <w:t xml:space="preserve">tiempos de traslado de las mismas, </w:t>
      </w:r>
      <w:r w:rsidR="00982822">
        <w:rPr>
          <w:color w:val="auto"/>
        </w:rPr>
        <w:t xml:space="preserve">y continuidad de la operación </w:t>
      </w:r>
      <w:r w:rsidRPr="005B5DD5">
        <w:rPr>
          <w:color w:val="auto"/>
        </w:rPr>
        <w:t>se comparan favorablemente con programas similares</w:t>
      </w:r>
      <w:r w:rsidR="00982822">
        <w:rPr>
          <w:color w:val="auto"/>
        </w:rPr>
        <w:t>.</w:t>
      </w:r>
    </w:p>
    <w:p w14:paraId="33E2F265" w14:textId="77777777" w:rsidR="00982822" w:rsidRDefault="00982822" w:rsidP="00982822">
      <w:pPr>
        <w:pStyle w:val="Prrafodelista"/>
        <w:ind w:firstLine="0"/>
        <w:jc w:val="both"/>
        <w:rPr>
          <w:color w:val="auto"/>
        </w:rPr>
      </w:pPr>
    </w:p>
    <w:p w14:paraId="2479CBDC" w14:textId="77777777" w:rsidR="00982822" w:rsidRDefault="00982822" w:rsidP="00982822">
      <w:pPr>
        <w:pStyle w:val="Prrafodelista"/>
        <w:ind w:firstLine="0"/>
        <w:jc w:val="both"/>
        <w:rPr>
          <w:color w:val="auto"/>
        </w:rPr>
      </w:pPr>
    </w:p>
    <w:p w14:paraId="6F8E6F1E" w14:textId="77777777" w:rsidR="00982822" w:rsidRDefault="00982822" w:rsidP="00982822">
      <w:pPr>
        <w:pStyle w:val="Prrafodelista"/>
        <w:ind w:firstLine="0"/>
        <w:jc w:val="both"/>
        <w:rPr>
          <w:color w:val="auto"/>
        </w:rPr>
      </w:pPr>
    </w:p>
    <w:p w14:paraId="4649B494" w14:textId="77777777" w:rsidR="00982822" w:rsidRDefault="00982822" w:rsidP="00982822">
      <w:pPr>
        <w:pStyle w:val="Prrafodelista"/>
        <w:ind w:firstLine="0"/>
        <w:jc w:val="both"/>
        <w:rPr>
          <w:color w:val="auto"/>
        </w:rPr>
      </w:pPr>
    </w:p>
    <w:p w14:paraId="14A17426" w14:textId="77777777" w:rsidR="00982822" w:rsidRDefault="00982822" w:rsidP="00982822">
      <w:pPr>
        <w:pStyle w:val="Prrafodelista"/>
        <w:ind w:firstLine="0"/>
        <w:jc w:val="both"/>
        <w:rPr>
          <w:color w:val="auto"/>
        </w:rPr>
      </w:pPr>
    </w:p>
    <w:p w14:paraId="10F19C3E" w14:textId="77777777" w:rsidR="00982822" w:rsidRDefault="00982822" w:rsidP="00982822">
      <w:pPr>
        <w:pStyle w:val="Prrafodelista"/>
        <w:ind w:firstLine="0"/>
        <w:jc w:val="both"/>
        <w:rPr>
          <w:color w:val="auto"/>
        </w:rPr>
      </w:pPr>
    </w:p>
    <w:p w14:paraId="2003A01C" w14:textId="77777777" w:rsidR="00982822" w:rsidRDefault="00982822" w:rsidP="00982822">
      <w:pPr>
        <w:pStyle w:val="Prrafodelista"/>
        <w:ind w:firstLine="0"/>
        <w:jc w:val="both"/>
        <w:rPr>
          <w:color w:val="auto"/>
        </w:rPr>
      </w:pPr>
    </w:p>
    <w:p w14:paraId="462224BE" w14:textId="77777777" w:rsidR="00982822" w:rsidRPr="005B5DD5" w:rsidRDefault="00982822" w:rsidP="00982822">
      <w:pPr>
        <w:pStyle w:val="Prrafodelista"/>
        <w:ind w:firstLine="0"/>
        <w:jc w:val="both"/>
        <w:rPr>
          <w:color w:val="auto"/>
        </w:rPr>
      </w:pPr>
    </w:p>
    <w:p w14:paraId="26E86D4F" w14:textId="77777777" w:rsidR="00982822" w:rsidRDefault="00982822" w:rsidP="00982822">
      <w:pPr>
        <w:pStyle w:val="Ttulo2"/>
      </w:pPr>
      <w:r>
        <w:lastRenderedPageBreak/>
        <w:t>Principales Hallazgos</w:t>
      </w:r>
    </w:p>
    <w:p w14:paraId="3DB632D6" w14:textId="77777777" w:rsidR="00E7744F" w:rsidRDefault="00E7744F" w:rsidP="004C1381">
      <w:pPr>
        <w:rPr>
          <w:b/>
          <w:sz w:val="24"/>
        </w:rPr>
      </w:pPr>
    </w:p>
    <w:p w14:paraId="11C90BFE" w14:textId="77777777" w:rsidR="00982822" w:rsidRDefault="00982822" w:rsidP="00982822">
      <w:pPr>
        <w:pStyle w:val="Ttulo6"/>
      </w:pPr>
      <w:r>
        <w:t>En materia de Planeación Estratégica</w:t>
      </w:r>
    </w:p>
    <w:p w14:paraId="68DDD75A" w14:textId="77777777" w:rsidR="00982822" w:rsidRDefault="00982822" w:rsidP="004C1381">
      <w:pPr>
        <w:rPr>
          <w:b/>
          <w:sz w:val="24"/>
        </w:rPr>
      </w:pPr>
    </w:p>
    <w:p w14:paraId="219B8DDC" w14:textId="1DBCCA23" w:rsidR="00982822" w:rsidRDefault="00982822" w:rsidP="00982822">
      <w:pPr>
        <w:pStyle w:val="Prrafodelista"/>
        <w:numPr>
          <w:ilvl w:val="0"/>
          <w:numId w:val="11"/>
        </w:numPr>
        <w:jc w:val="both"/>
        <w:rPr>
          <w:color w:val="auto"/>
          <w:szCs w:val="21"/>
        </w:rPr>
      </w:pPr>
      <w:r w:rsidRPr="00982822">
        <w:rPr>
          <w:color w:val="auto"/>
          <w:szCs w:val="21"/>
        </w:rPr>
        <w:t>El problema o necesidad que busca resolver el programa está identificado en primera instancia en el documento denominado “Elementos Mínimos para la Elaboración del Diagnóstico”, que justifica la creación o modificación sustancial de programas presupuestarios a incluirse en el proyecto de Presupuesto de Egresos de la Federación (PEF) para el ejercicio fiscal 2016”, por otra parte, el PP E022 no define un plazo para la revisión y actualización del problema o necesidad que busca resolver</w:t>
      </w:r>
      <w:r w:rsidR="001E4612">
        <w:rPr>
          <w:color w:val="auto"/>
          <w:szCs w:val="21"/>
        </w:rPr>
        <w:t>.</w:t>
      </w:r>
    </w:p>
    <w:p w14:paraId="679DF58E" w14:textId="77777777" w:rsidR="00982822" w:rsidRDefault="00982822" w:rsidP="00982822">
      <w:pPr>
        <w:pStyle w:val="Prrafodelista"/>
        <w:ind w:firstLine="0"/>
        <w:jc w:val="both"/>
        <w:rPr>
          <w:color w:val="auto"/>
          <w:szCs w:val="21"/>
        </w:rPr>
      </w:pPr>
    </w:p>
    <w:p w14:paraId="31E2311D" w14:textId="2AD98093" w:rsidR="00982822" w:rsidRDefault="00982822" w:rsidP="00982822">
      <w:pPr>
        <w:pStyle w:val="Prrafodelista"/>
        <w:numPr>
          <w:ilvl w:val="0"/>
          <w:numId w:val="11"/>
        </w:numPr>
        <w:jc w:val="both"/>
        <w:rPr>
          <w:color w:val="auto"/>
          <w:szCs w:val="21"/>
        </w:rPr>
      </w:pPr>
      <w:r w:rsidRPr="00982822">
        <w:rPr>
          <w:color w:val="auto"/>
          <w:szCs w:val="21"/>
        </w:rPr>
        <w:t>El PP E022 cuenta con una justificación teórica dentro de los siguientes documentos: P</w:t>
      </w:r>
      <w:r w:rsidR="001E4612">
        <w:rPr>
          <w:color w:val="auto"/>
          <w:szCs w:val="21"/>
        </w:rPr>
        <w:t xml:space="preserve">rograma </w:t>
      </w:r>
      <w:r w:rsidRPr="00982822">
        <w:rPr>
          <w:color w:val="auto"/>
          <w:szCs w:val="21"/>
        </w:rPr>
        <w:t>S</w:t>
      </w:r>
      <w:r w:rsidR="001E4612">
        <w:rPr>
          <w:color w:val="auto"/>
          <w:szCs w:val="21"/>
        </w:rPr>
        <w:t xml:space="preserve">ectorial de </w:t>
      </w:r>
      <w:r w:rsidRPr="00982822">
        <w:rPr>
          <w:color w:val="auto"/>
          <w:szCs w:val="21"/>
        </w:rPr>
        <w:t>C</w:t>
      </w:r>
      <w:r w:rsidR="001E4612">
        <w:rPr>
          <w:color w:val="auto"/>
          <w:szCs w:val="21"/>
        </w:rPr>
        <w:t xml:space="preserve">omunicaciones y Transportes (PSCT) </w:t>
      </w:r>
      <w:r w:rsidRPr="00982822">
        <w:rPr>
          <w:color w:val="auto"/>
          <w:szCs w:val="21"/>
        </w:rPr>
        <w:t>2013-2018, Programa Nacional de Infraestructura (PNI) 2014-2018, Programa de Inversiones en Infraestructura de Transportes y Comunicaciones (PIITC) 2013-2018.</w:t>
      </w:r>
    </w:p>
    <w:p w14:paraId="4D82E7EC" w14:textId="77777777" w:rsidR="00982822" w:rsidRPr="00982822" w:rsidRDefault="00982822" w:rsidP="00982822">
      <w:pPr>
        <w:pStyle w:val="Prrafodelista"/>
        <w:ind w:firstLine="0"/>
        <w:jc w:val="both"/>
        <w:rPr>
          <w:color w:val="auto"/>
          <w:szCs w:val="21"/>
        </w:rPr>
      </w:pPr>
    </w:p>
    <w:p w14:paraId="32082007" w14:textId="77777777" w:rsidR="00982822" w:rsidRDefault="00982822" w:rsidP="00982822">
      <w:pPr>
        <w:pStyle w:val="Prrafodelista"/>
        <w:numPr>
          <w:ilvl w:val="0"/>
          <w:numId w:val="11"/>
        </w:numPr>
        <w:jc w:val="both"/>
        <w:rPr>
          <w:color w:val="auto"/>
          <w:szCs w:val="21"/>
        </w:rPr>
      </w:pPr>
      <w:r w:rsidRPr="00982822">
        <w:rPr>
          <w:color w:val="auto"/>
          <w:szCs w:val="21"/>
        </w:rPr>
        <w:t>El programa no cuenta con un documento oficial o Reglas de Operación (ROP), en las que estén definidas la población potencial y objetivo, en su lugar identifica usuarios del servicio de transporte de carga acorde con la infraestructura asignada al FIT.</w:t>
      </w:r>
    </w:p>
    <w:p w14:paraId="7CC17778" w14:textId="77777777" w:rsidR="00982822" w:rsidRPr="00982822" w:rsidRDefault="00982822" w:rsidP="00982822">
      <w:pPr>
        <w:pStyle w:val="Prrafodelista"/>
        <w:ind w:firstLine="0"/>
        <w:jc w:val="both"/>
        <w:rPr>
          <w:color w:val="auto"/>
          <w:szCs w:val="21"/>
        </w:rPr>
      </w:pPr>
    </w:p>
    <w:p w14:paraId="25112903" w14:textId="77777777" w:rsidR="00982822" w:rsidRDefault="00982822" w:rsidP="00982822">
      <w:pPr>
        <w:pStyle w:val="Prrafodelista"/>
        <w:numPr>
          <w:ilvl w:val="0"/>
          <w:numId w:val="11"/>
        </w:numPr>
        <w:jc w:val="both"/>
        <w:rPr>
          <w:color w:val="auto"/>
          <w:szCs w:val="21"/>
        </w:rPr>
      </w:pPr>
      <w:r w:rsidRPr="00982822">
        <w:rPr>
          <w:color w:val="auto"/>
          <w:szCs w:val="21"/>
        </w:rPr>
        <w:t xml:space="preserve">En cuanto al análisis de las MIR de los PP E011 y E022, se corroboró que la fusión de ambos programas es adecuada, pero es necesario replantear principalmente la lógica vertical del programa resultante, esto debido principalmente a que la relación de componentes-propósito no permite que se cumpla la lógica vertical y pone en riesgo el logro del fin del programa. </w:t>
      </w:r>
    </w:p>
    <w:p w14:paraId="1E5F19A8" w14:textId="77777777" w:rsidR="00982822" w:rsidRPr="00982822" w:rsidRDefault="00982822" w:rsidP="00982822">
      <w:pPr>
        <w:pStyle w:val="Prrafodelista"/>
        <w:ind w:firstLine="0"/>
        <w:jc w:val="both"/>
        <w:rPr>
          <w:color w:val="auto"/>
          <w:szCs w:val="21"/>
        </w:rPr>
      </w:pPr>
    </w:p>
    <w:p w14:paraId="4167F309" w14:textId="0F18A275" w:rsidR="00982822" w:rsidRDefault="00982822" w:rsidP="00982822">
      <w:pPr>
        <w:pStyle w:val="Prrafodelista"/>
        <w:numPr>
          <w:ilvl w:val="0"/>
          <w:numId w:val="11"/>
        </w:numPr>
        <w:jc w:val="both"/>
        <w:rPr>
          <w:color w:val="auto"/>
          <w:szCs w:val="21"/>
        </w:rPr>
      </w:pPr>
      <w:r w:rsidRPr="00982822">
        <w:rPr>
          <w:color w:val="auto"/>
          <w:szCs w:val="21"/>
        </w:rPr>
        <w:t xml:space="preserve">En relación a los indicadores que sirven para la medición de los objetivos del resumen narrativo, se percibe la necesidad de </w:t>
      </w:r>
      <w:r w:rsidR="001E4612">
        <w:rPr>
          <w:color w:val="auto"/>
          <w:szCs w:val="21"/>
        </w:rPr>
        <w:t>concebir</w:t>
      </w:r>
      <w:r w:rsidRPr="00982822">
        <w:rPr>
          <w:color w:val="auto"/>
          <w:szCs w:val="21"/>
        </w:rPr>
        <w:t xml:space="preserve"> acciones destinadas a la generación de información propia que permita el desarrollo de indicadores </w:t>
      </w:r>
      <w:r w:rsidR="001E4612">
        <w:rPr>
          <w:color w:val="auto"/>
          <w:szCs w:val="21"/>
        </w:rPr>
        <w:t>que ofrezcan</w:t>
      </w:r>
      <w:r w:rsidRPr="00982822">
        <w:rPr>
          <w:color w:val="auto"/>
          <w:szCs w:val="21"/>
        </w:rPr>
        <w:t xml:space="preserve"> una medición más precisa y que, a su vez, puedan ofrecer mayor evidencia de la forma en que el FIT cumple con los objetivos señalados en el Resumen Narrativo. Esto sucede principalmente a nivel propósito, componentes y parcialmente a nivel fin.</w:t>
      </w:r>
    </w:p>
    <w:p w14:paraId="4BE3722A" w14:textId="77777777" w:rsidR="00982822" w:rsidRPr="00982822" w:rsidRDefault="00982822" w:rsidP="00982822">
      <w:pPr>
        <w:pStyle w:val="Prrafodelista"/>
        <w:ind w:firstLine="0"/>
        <w:jc w:val="both"/>
        <w:rPr>
          <w:color w:val="auto"/>
          <w:szCs w:val="21"/>
        </w:rPr>
      </w:pPr>
    </w:p>
    <w:p w14:paraId="6F9FA38D" w14:textId="77777777" w:rsidR="00982822" w:rsidRDefault="00982822" w:rsidP="00982822">
      <w:pPr>
        <w:pStyle w:val="Prrafodelista"/>
        <w:numPr>
          <w:ilvl w:val="0"/>
          <w:numId w:val="11"/>
        </w:numPr>
        <w:jc w:val="both"/>
        <w:rPr>
          <w:color w:val="auto"/>
          <w:szCs w:val="21"/>
        </w:rPr>
      </w:pPr>
      <w:r w:rsidRPr="00982822">
        <w:rPr>
          <w:color w:val="auto"/>
          <w:szCs w:val="21"/>
        </w:rPr>
        <w:t>El programa resuelve en gran medida la complementariedad con la fusión señalada anteriormente; sin embargo, se considera que puede auxiliarse del PP K040 en la lógica que el desarrollo de infraestructura, así como los trabajos de rehabilitación, considerados como gasto de inversión, influyen de forma directa en mejores niveles de operación, mayor velocidad, menores tiempos y costos de traslado, lo que beneficia la eficiencia y la competitividad de la red asignada al FIT.</w:t>
      </w:r>
    </w:p>
    <w:p w14:paraId="5A524072" w14:textId="77777777" w:rsidR="00982822" w:rsidRPr="00982822" w:rsidRDefault="00982822" w:rsidP="00982822">
      <w:pPr>
        <w:pStyle w:val="Prrafodelista"/>
        <w:ind w:firstLine="0"/>
        <w:jc w:val="both"/>
        <w:rPr>
          <w:color w:val="auto"/>
          <w:szCs w:val="21"/>
        </w:rPr>
      </w:pPr>
    </w:p>
    <w:p w14:paraId="207F48BB" w14:textId="77777777" w:rsidR="00982822" w:rsidRDefault="004079B5" w:rsidP="00982822">
      <w:pPr>
        <w:pStyle w:val="Ttulo6"/>
      </w:pPr>
      <w:r>
        <w:t>R</w:t>
      </w:r>
      <w:r w:rsidR="00982822">
        <w:t>ecursos ejercidos por el programa</w:t>
      </w:r>
    </w:p>
    <w:p w14:paraId="4E15F650" w14:textId="77777777" w:rsidR="005611E0" w:rsidRPr="00982822" w:rsidRDefault="005611E0" w:rsidP="00982822">
      <w:pPr>
        <w:rPr>
          <w:b/>
          <w:sz w:val="24"/>
        </w:rPr>
      </w:pPr>
    </w:p>
    <w:p w14:paraId="3B9746BC" w14:textId="77777777" w:rsidR="00982822" w:rsidRDefault="00982822" w:rsidP="00982822">
      <w:pPr>
        <w:pStyle w:val="Prrafodelista"/>
        <w:numPr>
          <w:ilvl w:val="0"/>
          <w:numId w:val="13"/>
        </w:numPr>
        <w:jc w:val="both"/>
        <w:rPr>
          <w:color w:val="auto"/>
          <w:szCs w:val="21"/>
        </w:rPr>
      </w:pPr>
      <w:r w:rsidRPr="00982822">
        <w:rPr>
          <w:color w:val="auto"/>
          <w:szCs w:val="21"/>
        </w:rPr>
        <w:t xml:space="preserve">Durante el periodo de estudio 2012-2014, el presupuesto ejercido por el Sector Comunicaciones y Transportes fue menor al presupuesto aprobado. En esos mismos años, el </w:t>
      </w:r>
      <w:r w:rsidRPr="00982822">
        <w:rPr>
          <w:color w:val="auto"/>
          <w:szCs w:val="21"/>
        </w:rPr>
        <w:lastRenderedPageBreak/>
        <w:t>Ferrocarril del Istmo de Tehuantepec (FIT) recibió 0.5 % del presupuesto aprobado y 1.1 % del total del presupuesto ejercido en términos reales, lo que indica una mínima participación del FIT en el Sector.</w:t>
      </w:r>
    </w:p>
    <w:p w14:paraId="358174D0" w14:textId="77777777" w:rsidR="00982822" w:rsidRDefault="00982822" w:rsidP="00982822">
      <w:pPr>
        <w:pStyle w:val="Prrafodelista"/>
        <w:ind w:firstLine="0"/>
        <w:jc w:val="both"/>
        <w:rPr>
          <w:color w:val="auto"/>
          <w:szCs w:val="21"/>
        </w:rPr>
      </w:pPr>
    </w:p>
    <w:p w14:paraId="426B1339" w14:textId="77777777" w:rsidR="00982822" w:rsidRDefault="00982822" w:rsidP="00982822">
      <w:pPr>
        <w:pStyle w:val="Prrafodelista"/>
        <w:numPr>
          <w:ilvl w:val="0"/>
          <w:numId w:val="13"/>
        </w:numPr>
        <w:jc w:val="both"/>
        <w:rPr>
          <w:color w:val="auto"/>
          <w:szCs w:val="21"/>
        </w:rPr>
      </w:pPr>
      <w:r w:rsidRPr="00982822">
        <w:rPr>
          <w:color w:val="auto"/>
          <w:szCs w:val="21"/>
        </w:rPr>
        <w:t>De 2012 a 2014, el presupuesto aprobado para el FIT tuvo una tasa de crecimiento promedio anual de 0.8 %, mientras que el presupuesto ejercido aumentó 92.7 %; lo que indica que se apoyó al FIT con las adecuaciones presupuestales que hizo la SHCP, principalmente en el año 2014.</w:t>
      </w:r>
    </w:p>
    <w:p w14:paraId="20CD4C5F" w14:textId="77777777" w:rsidR="00982822" w:rsidRPr="00982822" w:rsidRDefault="00982822" w:rsidP="00982822">
      <w:pPr>
        <w:pStyle w:val="Prrafodelista"/>
        <w:rPr>
          <w:color w:val="auto"/>
          <w:szCs w:val="21"/>
        </w:rPr>
      </w:pPr>
    </w:p>
    <w:p w14:paraId="7EF7AA1B" w14:textId="77777777" w:rsidR="00982822" w:rsidRDefault="00982822" w:rsidP="00982822">
      <w:pPr>
        <w:pStyle w:val="Prrafodelista"/>
        <w:numPr>
          <w:ilvl w:val="0"/>
          <w:numId w:val="13"/>
        </w:numPr>
        <w:jc w:val="both"/>
        <w:rPr>
          <w:color w:val="auto"/>
          <w:szCs w:val="21"/>
        </w:rPr>
      </w:pPr>
      <w:r w:rsidRPr="00982822">
        <w:rPr>
          <w:color w:val="auto"/>
          <w:szCs w:val="21"/>
        </w:rPr>
        <w:t>Los principales capítulos de gasto con presupuesto aprobado para el FIT, fueron el 3000-Servicios Generales y 1000-Servicios Personales, ya que juntos representaron 80.3 % del presupuesto total aprobado para la entidad en 2012; 79.2 % en 2013, y 79.1 % en 2014</w:t>
      </w:r>
    </w:p>
    <w:p w14:paraId="7E45C697" w14:textId="77777777" w:rsidR="00982822" w:rsidRPr="00982822" w:rsidRDefault="00982822" w:rsidP="00982822">
      <w:pPr>
        <w:pStyle w:val="Prrafodelista"/>
        <w:rPr>
          <w:color w:val="auto"/>
          <w:szCs w:val="21"/>
        </w:rPr>
      </w:pPr>
    </w:p>
    <w:p w14:paraId="55E08790" w14:textId="77777777" w:rsidR="004079B5" w:rsidRDefault="004079B5" w:rsidP="004079B5">
      <w:pPr>
        <w:pStyle w:val="Prrafodelista"/>
        <w:numPr>
          <w:ilvl w:val="0"/>
          <w:numId w:val="13"/>
        </w:numPr>
        <w:rPr>
          <w:color w:val="auto"/>
          <w:szCs w:val="21"/>
        </w:rPr>
      </w:pPr>
      <w:r w:rsidRPr="004079B5">
        <w:rPr>
          <w:color w:val="auto"/>
          <w:szCs w:val="21"/>
        </w:rPr>
        <w:t xml:space="preserve">Con base en información de la Cuenta de la Hacienda Pública Federal proporcionada por el FIT, se puede señalar que al igual que la entidad, el PP E011 registró mayores erogaciones en los Capítulos de Gasto 3000 </w:t>
      </w:r>
      <w:r>
        <w:rPr>
          <w:color w:val="auto"/>
          <w:szCs w:val="21"/>
        </w:rPr>
        <w:t xml:space="preserve">– Servicios Generales </w:t>
      </w:r>
      <w:r w:rsidRPr="004079B5">
        <w:rPr>
          <w:color w:val="auto"/>
          <w:szCs w:val="21"/>
        </w:rPr>
        <w:t xml:space="preserve">y 1000 </w:t>
      </w:r>
      <w:r>
        <w:rPr>
          <w:color w:val="auto"/>
          <w:szCs w:val="21"/>
        </w:rPr>
        <w:t xml:space="preserve">– Servicios Generales </w:t>
      </w:r>
      <w:r w:rsidRPr="004079B5">
        <w:rPr>
          <w:color w:val="auto"/>
          <w:szCs w:val="21"/>
        </w:rPr>
        <w:t>durante el periodo de estudio.</w:t>
      </w:r>
    </w:p>
    <w:p w14:paraId="21BD9121" w14:textId="77777777" w:rsidR="004079B5" w:rsidRDefault="004079B5" w:rsidP="004079B5">
      <w:pPr>
        <w:rPr>
          <w:szCs w:val="21"/>
        </w:rPr>
      </w:pPr>
    </w:p>
    <w:p w14:paraId="00757576" w14:textId="77777777" w:rsidR="004079B5" w:rsidRDefault="004079B5" w:rsidP="004079B5">
      <w:pPr>
        <w:pStyle w:val="Ttulo6"/>
      </w:pPr>
      <w:r>
        <w:t>Resultados del programa</w:t>
      </w:r>
    </w:p>
    <w:p w14:paraId="3527D482" w14:textId="77777777" w:rsidR="004079B5" w:rsidRDefault="004079B5" w:rsidP="004079B5">
      <w:pPr>
        <w:rPr>
          <w:szCs w:val="21"/>
        </w:rPr>
      </w:pPr>
    </w:p>
    <w:p w14:paraId="5410523F" w14:textId="26317FF7" w:rsidR="004079B5" w:rsidRDefault="004079B5" w:rsidP="004079B5">
      <w:pPr>
        <w:pStyle w:val="Prrafodelista"/>
        <w:numPr>
          <w:ilvl w:val="0"/>
          <w:numId w:val="14"/>
        </w:numPr>
        <w:jc w:val="both"/>
        <w:rPr>
          <w:color w:val="auto"/>
          <w:szCs w:val="21"/>
        </w:rPr>
      </w:pPr>
      <w:r w:rsidRPr="004079B5">
        <w:rPr>
          <w:color w:val="auto"/>
          <w:szCs w:val="21"/>
        </w:rPr>
        <w:t>Una variable relevante en el análisis de la evolución en la eficiencia del Sistema Ferroviario Mexicano es la producción bruta interna del sector del ferrocarril; ya que con esta podemos caracterizar la evolución de la productividad para los factores de producción del sector. Este indicador, desarrollado por el INEGI mostró una recuperación importante a partir de 2013 y hasta el tercer trimestre de 2014 en dónde obtuvo tasas de variación anual positivas llegando a un máximo del 7</w:t>
      </w:r>
      <w:r w:rsidR="001E4612">
        <w:rPr>
          <w:color w:val="auto"/>
          <w:szCs w:val="21"/>
        </w:rPr>
        <w:t xml:space="preserve"> </w:t>
      </w:r>
      <w:r w:rsidRPr="004079B5">
        <w:rPr>
          <w:color w:val="auto"/>
          <w:szCs w:val="21"/>
        </w:rPr>
        <w:t xml:space="preserve">% en el tercer trimestre de 2014, a partir de allí se ha observado un crecimiento más </w:t>
      </w:r>
      <w:r w:rsidR="001E4612" w:rsidRPr="004079B5">
        <w:rPr>
          <w:color w:val="auto"/>
          <w:szCs w:val="21"/>
        </w:rPr>
        <w:t>moderado,</w:t>
      </w:r>
      <w:r w:rsidRPr="004079B5">
        <w:rPr>
          <w:color w:val="auto"/>
          <w:szCs w:val="21"/>
        </w:rPr>
        <w:t xml:space="preserve"> pero aún positivo (4.7</w:t>
      </w:r>
      <w:r w:rsidR="001E4612">
        <w:rPr>
          <w:color w:val="auto"/>
          <w:szCs w:val="21"/>
        </w:rPr>
        <w:t xml:space="preserve"> </w:t>
      </w:r>
      <w:r w:rsidRPr="004079B5">
        <w:rPr>
          <w:color w:val="auto"/>
          <w:szCs w:val="21"/>
        </w:rPr>
        <w:t>%) bajando a niveles mínimos en el tercer trimestre de 2015 (2.7</w:t>
      </w:r>
      <w:r w:rsidR="001E4612">
        <w:rPr>
          <w:color w:val="auto"/>
          <w:szCs w:val="21"/>
        </w:rPr>
        <w:t xml:space="preserve"> </w:t>
      </w:r>
      <w:r w:rsidRPr="004079B5">
        <w:rPr>
          <w:color w:val="auto"/>
          <w:szCs w:val="21"/>
        </w:rPr>
        <w:t>%)</w:t>
      </w:r>
      <w:r>
        <w:rPr>
          <w:color w:val="auto"/>
          <w:szCs w:val="21"/>
        </w:rPr>
        <w:t>.</w:t>
      </w:r>
    </w:p>
    <w:p w14:paraId="11302A1F" w14:textId="77777777" w:rsidR="004079B5" w:rsidRDefault="004079B5" w:rsidP="004079B5">
      <w:pPr>
        <w:pStyle w:val="Prrafodelista"/>
        <w:ind w:firstLine="0"/>
        <w:jc w:val="both"/>
        <w:rPr>
          <w:color w:val="auto"/>
          <w:szCs w:val="21"/>
        </w:rPr>
      </w:pPr>
    </w:p>
    <w:p w14:paraId="7FCCA05A" w14:textId="7C533C22" w:rsidR="004079B5" w:rsidRDefault="004079B5" w:rsidP="004079B5">
      <w:pPr>
        <w:pStyle w:val="Prrafodelista"/>
        <w:numPr>
          <w:ilvl w:val="0"/>
          <w:numId w:val="14"/>
        </w:numPr>
        <w:jc w:val="both"/>
        <w:rPr>
          <w:color w:val="auto"/>
          <w:szCs w:val="21"/>
        </w:rPr>
      </w:pPr>
      <w:r w:rsidRPr="004079B5">
        <w:rPr>
          <w:color w:val="auto"/>
          <w:szCs w:val="21"/>
        </w:rPr>
        <w:t xml:space="preserve">Otra forma de observar los resultados particulares de la infraestructura asignada e impuesta al FIT es a través de la continuidad en la prestación del servicio de transporte vía férrea. Una de las principales causas de interrupción del servicio obedece a los accidentes que ocurren en las líneas F, K y Z. Los accidentes a su vez, pueden obedecer a distintas causas (mal manejo del tren, robo de material de fijación, defectos en la unidad, vía en mal estado, etc.). Los resultados observados en las tres líneas </w:t>
      </w:r>
      <w:r w:rsidR="001E4612" w:rsidRPr="004079B5">
        <w:rPr>
          <w:color w:val="auto"/>
          <w:szCs w:val="21"/>
        </w:rPr>
        <w:t>muestran,</w:t>
      </w:r>
      <w:r w:rsidRPr="004079B5">
        <w:rPr>
          <w:color w:val="auto"/>
          <w:szCs w:val="21"/>
        </w:rPr>
        <w:t xml:space="preserve"> por un lado, que la principal causa de los accidentes es el estado de la vía, y que la pr</w:t>
      </w:r>
      <w:r w:rsidR="001E4612">
        <w:rPr>
          <w:color w:val="auto"/>
          <w:szCs w:val="21"/>
        </w:rPr>
        <w:t>esencia d</w:t>
      </w:r>
      <w:r w:rsidRPr="004079B5">
        <w:rPr>
          <w:color w:val="auto"/>
          <w:szCs w:val="21"/>
        </w:rPr>
        <w:t>e accidentes se asocia de manera importante al nivel de mantenimiento de las mismas, en una relación inversa. El estado de Yucatán es el que en términos generales presenta el mayor número de incidencias</w:t>
      </w:r>
      <w:r>
        <w:rPr>
          <w:color w:val="auto"/>
          <w:szCs w:val="21"/>
        </w:rPr>
        <w:t>.</w:t>
      </w:r>
    </w:p>
    <w:p w14:paraId="6830ACA1" w14:textId="77777777" w:rsidR="004079B5" w:rsidRPr="004079B5" w:rsidRDefault="004079B5" w:rsidP="004079B5">
      <w:pPr>
        <w:pStyle w:val="Prrafodelista"/>
        <w:rPr>
          <w:color w:val="auto"/>
          <w:szCs w:val="21"/>
        </w:rPr>
      </w:pPr>
    </w:p>
    <w:p w14:paraId="2E5B9A25" w14:textId="77777777" w:rsidR="004079B5" w:rsidRDefault="004079B5" w:rsidP="004079B5">
      <w:pPr>
        <w:pStyle w:val="Prrafodelista"/>
        <w:numPr>
          <w:ilvl w:val="0"/>
          <w:numId w:val="14"/>
        </w:numPr>
        <w:jc w:val="both"/>
        <w:rPr>
          <w:color w:val="auto"/>
          <w:szCs w:val="21"/>
        </w:rPr>
      </w:pPr>
      <w:r w:rsidRPr="004079B5">
        <w:rPr>
          <w:color w:val="auto"/>
          <w:szCs w:val="21"/>
        </w:rPr>
        <w:t xml:space="preserve">Los resultados de la actividad tanto del FIT como del conjunto del Sistema Ferroviario Nacional (SFN) se pueden ver reflejados en los niveles de competitividad de nuestro país. A nivel internacional, hasta el año 2014, México ocupó el lugar 64 en cuanto al Índice Global de Competitividad de infraestructura, ubicándose por encima de países del continente como Argentina y Brasil, pero por debajo de Panamá y Chile. En el contexto ferroviario México ocupó la posición número 60 a nivel mundial con lo que se observan áreas de oportunidad de nuestro SFN y por ende en el FIT. </w:t>
      </w:r>
    </w:p>
    <w:p w14:paraId="0B354860" w14:textId="77777777" w:rsidR="004079B5" w:rsidRPr="004079B5" w:rsidRDefault="004079B5" w:rsidP="004079B5">
      <w:pPr>
        <w:pStyle w:val="Prrafodelista"/>
        <w:rPr>
          <w:color w:val="auto"/>
          <w:szCs w:val="21"/>
        </w:rPr>
      </w:pPr>
    </w:p>
    <w:p w14:paraId="16263091" w14:textId="77777777" w:rsidR="004079B5" w:rsidRPr="004079B5" w:rsidRDefault="004079B5" w:rsidP="004079B5">
      <w:pPr>
        <w:pStyle w:val="Prrafodelista"/>
        <w:numPr>
          <w:ilvl w:val="0"/>
          <w:numId w:val="14"/>
        </w:numPr>
        <w:rPr>
          <w:color w:val="auto"/>
          <w:szCs w:val="21"/>
        </w:rPr>
      </w:pPr>
      <w:r w:rsidRPr="004079B5">
        <w:rPr>
          <w:color w:val="auto"/>
          <w:szCs w:val="21"/>
        </w:rPr>
        <w:t>En términos de productividad de la infraestructura asignada al FIT tenemos que:</w:t>
      </w:r>
    </w:p>
    <w:p w14:paraId="5221EC2A" w14:textId="77777777" w:rsidR="004079B5" w:rsidRPr="004079B5" w:rsidRDefault="004079B5" w:rsidP="004079B5">
      <w:pPr>
        <w:pStyle w:val="Prrafodelista"/>
        <w:numPr>
          <w:ilvl w:val="1"/>
          <w:numId w:val="14"/>
        </w:numPr>
        <w:jc w:val="both"/>
        <w:rPr>
          <w:color w:val="auto"/>
          <w:szCs w:val="21"/>
        </w:rPr>
      </w:pPr>
      <w:r w:rsidRPr="004079B5">
        <w:rPr>
          <w:b/>
          <w:color w:val="auto"/>
          <w:szCs w:val="21"/>
          <w:u w:val="single"/>
        </w:rPr>
        <w:t>Línea K (Chiapas):</w:t>
      </w:r>
      <w:r w:rsidRPr="004079B5">
        <w:rPr>
          <w:color w:val="auto"/>
          <w:szCs w:val="21"/>
        </w:rPr>
        <w:t xml:space="preserve"> en 2012 se incrementó el número de toneladas movidas en 130.3 % al pasar de 4,819 (2011) a 11,096 toneladas. En 2013 y 2014 este escenario cambió por completo: se transportaron más de cien mil toneladas, 134,968 toneladas en 2013 y 120,962 toneladas en 2014.</w:t>
      </w:r>
    </w:p>
    <w:p w14:paraId="7A6DD7A7" w14:textId="77777777" w:rsidR="004079B5" w:rsidRPr="004079B5" w:rsidRDefault="004079B5" w:rsidP="004079B5">
      <w:pPr>
        <w:pStyle w:val="Prrafodelista"/>
        <w:ind w:left="1440" w:firstLine="0"/>
        <w:jc w:val="both"/>
        <w:rPr>
          <w:color w:val="auto"/>
          <w:szCs w:val="21"/>
        </w:rPr>
      </w:pPr>
    </w:p>
    <w:p w14:paraId="62F71E0C" w14:textId="77777777" w:rsidR="004079B5" w:rsidRPr="004079B5" w:rsidRDefault="004079B5" w:rsidP="004079B5">
      <w:pPr>
        <w:pStyle w:val="Prrafodelista"/>
        <w:numPr>
          <w:ilvl w:val="1"/>
          <w:numId w:val="14"/>
        </w:numPr>
        <w:jc w:val="both"/>
        <w:rPr>
          <w:color w:val="auto"/>
          <w:szCs w:val="21"/>
        </w:rPr>
      </w:pPr>
      <w:r w:rsidRPr="004079B5">
        <w:rPr>
          <w:color w:val="auto"/>
          <w:szCs w:val="21"/>
        </w:rPr>
        <w:t>Los principales clientes en esta línea durante este periodo variaron mucho cada año, en 2012 y 2013 solo fue Cemex México, S. A de C.V.; mientras que en 2014 la cartera de clientes se diversificó, además de Cemex se contó con TA-2000 S.A. de C.V., Gramosa Agroalimentos, S.A. de C.V., Comisión Federal de Electricidad (CFE) y Deacero, S. A. de C.V.</w:t>
      </w:r>
    </w:p>
    <w:p w14:paraId="3D48A048" w14:textId="77777777" w:rsidR="004079B5" w:rsidRPr="004079B5" w:rsidRDefault="004079B5" w:rsidP="004079B5">
      <w:pPr>
        <w:pStyle w:val="Prrafodelista"/>
        <w:ind w:left="1440" w:firstLine="0"/>
        <w:jc w:val="both"/>
        <w:rPr>
          <w:color w:val="auto"/>
          <w:szCs w:val="21"/>
        </w:rPr>
      </w:pPr>
    </w:p>
    <w:p w14:paraId="2639AF8B" w14:textId="77777777" w:rsidR="004079B5" w:rsidRPr="004079B5" w:rsidRDefault="004079B5" w:rsidP="004079B5">
      <w:pPr>
        <w:pStyle w:val="Prrafodelista"/>
        <w:numPr>
          <w:ilvl w:val="1"/>
          <w:numId w:val="14"/>
        </w:numPr>
        <w:jc w:val="both"/>
        <w:rPr>
          <w:color w:val="auto"/>
          <w:szCs w:val="21"/>
        </w:rPr>
      </w:pPr>
      <w:r w:rsidRPr="004079B5">
        <w:rPr>
          <w:b/>
          <w:color w:val="auto"/>
          <w:szCs w:val="21"/>
          <w:u w:val="single"/>
        </w:rPr>
        <w:t>Línea Z (Istmo):</w:t>
      </w:r>
      <w:r w:rsidRPr="004079B5">
        <w:rPr>
          <w:b/>
          <w:color w:val="auto"/>
          <w:szCs w:val="21"/>
        </w:rPr>
        <w:t xml:space="preserve"> </w:t>
      </w:r>
      <w:r w:rsidRPr="004079B5">
        <w:rPr>
          <w:color w:val="auto"/>
          <w:szCs w:val="21"/>
        </w:rPr>
        <w:t>en 2012 se movieron 556,713 toneladas, cifra menor en 4 % respecto a 2011; en 2013 se movieron 18.8 % más toneladas netas que en 2012 al pasar a 661,517 toneladas netas. Finalmente, en 2014 el movimiento de carga transportado por esta línea se redujo en 11.2 % al pasar a 587,640 toneladas netas.</w:t>
      </w:r>
    </w:p>
    <w:p w14:paraId="0E10229E" w14:textId="77777777" w:rsidR="004079B5" w:rsidRPr="004079B5" w:rsidRDefault="004079B5" w:rsidP="004079B5">
      <w:pPr>
        <w:pStyle w:val="Prrafodelista"/>
        <w:ind w:left="1440" w:firstLine="0"/>
        <w:jc w:val="both"/>
        <w:rPr>
          <w:color w:val="auto"/>
          <w:szCs w:val="21"/>
        </w:rPr>
      </w:pPr>
    </w:p>
    <w:p w14:paraId="1C0CC6F1" w14:textId="77777777" w:rsidR="004079B5" w:rsidRPr="004079B5" w:rsidRDefault="004079B5" w:rsidP="004079B5">
      <w:pPr>
        <w:pStyle w:val="Prrafodelista"/>
        <w:numPr>
          <w:ilvl w:val="1"/>
          <w:numId w:val="14"/>
        </w:numPr>
        <w:jc w:val="both"/>
        <w:rPr>
          <w:color w:val="auto"/>
          <w:szCs w:val="21"/>
        </w:rPr>
      </w:pPr>
      <w:r w:rsidRPr="004079B5">
        <w:rPr>
          <w:color w:val="auto"/>
          <w:szCs w:val="21"/>
        </w:rPr>
        <w:t>Los principales clientes en esta línea para este periodo fueron Cemex México, S. A de C.V., Minsa, S.A. de C.V., Harinera de Chiapas, S.A. de C.V. y TA-2000, S.A. de C.V.</w:t>
      </w:r>
    </w:p>
    <w:p w14:paraId="3138C03A" w14:textId="77777777" w:rsidR="004079B5" w:rsidRPr="004079B5" w:rsidRDefault="004079B5" w:rsidP="004079B5">
      <w:pPr>
        <w:pStyle w:val="Prrafodelista"/>
        <w:ind w:left="1440" w:firstLine="0"/>
        <w:jc w:val="both"/>
        <w:rPr>
          <w:color w:val="auto"/>
          <w:szCs w:val="21"/>
        </w:rPr>
      </w:pPr>
    </w:p>
    <w:p w14:paraId="69333F25" w14:textId="77777777" w:rsidR="004079B5" w:rsidRPr="004079B5" w:rsidRDefault="004079B5" w:rsidP="004079B5">
      <w:pPr>
        <w:pStyle w:val="Prrafodelista"/>
        <w:numPr>
          <w:ilvl w:val="1"/>
          <w:numId w:val="14"/>
        </w:numPr>
        <w:jc w:val="both"/>
        <w:rPr>
          <w:color w:val="auto"/>
          <w:szCs w:val="21"/>
        </w:rPr>
      </w:pPr>
      <w:r w:rsidRPr="004079B5">
        <w:rPr>
          <w:b/>
          <w:color w:val="auto"/>
          <w:szCs w:val="21"/>
          <w:u w:val="single"/>
        </w:rPr>
        <w:t>Línea F (Mayab):</w:t>
      </w:r>
      <w:r w:rsidRPr="004079B5">
        <w:rPr>
          <w:color w:val="auto"/>
          <w:szCs w:val="21"/>
        </w:rPr>
        <w:t xml:space="preserve"> el comportamiento de la carga transportada por el FIT se redujo cada año durante este periodo de 2012 a 2014, al pasar de 2011 a 2012 de 748,602 toneladas netas movidas a 693,543 (7 % menos). Mientras que de 2012 a 2013, la reducción fue del 16 % y de 2013 a 2014 la reducción fue del 65 %, para llegar a 205,353 toneladas netas.</w:t>
      </w:r>
    </w:p>
    <w:p w14:paraId="6E0A529E" w14:textId="77777777" w:rsidR="004079B5" w:rsidRPr="004079B5" w:rsidRDefault="004079B5" w:rsidP="004079B5">
      <w:pPr>
        <w:pStyle w:val="Prrafodelista"/>
        <w:ind w:left="1440" w:firstLine="0"/>
        <w:jc w:val="both"/>
        <w:rPr>
          <w:color w:val="auto"/>
          <w:szCs w:val="21"/>
        </w:rPr>
      </w:pPr>
    </w:p>
    <w:p w14:paraId="1D1071FC" w14:textId="77777777" w:rsidR="004079B5" w:rsidRDefault="004079B5" w:rsidP="004079B5">
      <w:pPr>
        <w:pStyle w:val="Prrafodelista"/>
        <w:numPr>
          <w:ilvl w:val="1"/>
          <w:numId w:val="14"/>
        </w:numPr>
        <w:jc w:val="both"/>
        <w:rPr>
          <w:color w:val="auto"/>
          <w:szCs w:val="21"/>
        </w:rPr>
      </w:pPr>
      <w:r w:rsidRPr="004079B5">
        <w:rPr>
          <w:color w:val="auto"/>
          <w:szCs w:val="21"/>
        </w:rPr>
        <w:t>Los principales clientes durante este periodo fueron Cemex México, S. A de C.V., Comisión Federal de Electricidad, Cementos Apasco, S. A. de C.V., TA-2000, S.A. de C.V. y Deacero, S. A. de C.V.</w:t>
      </w:r>
    </w:p>
    <w:p w14:paraId="1AF18A52" w14:textId="77777777" w:rsidR="004079B5" w:rsidRPr="004079B5" w:rsidRDefault="004079B5" w:rsidP="004079B5">
      <w:pPr>
        <w:pStyle w:val="Prrafodelista"/>
        <w:rPr>
          <w:color w:val="auto"/>
          <w:szCs w:val="21"/>
        </w:rPr>
      </w:pPr>
    </w:p>
    <w:p w14:paraId="3F5420FD" w14:textId="77777777" w:rsidR="004079B5" w:rsidRDefault="004079B5" w:rsidP="004079B5">
      <w:pPr>
        <w:pStyle w:val="Prrafodelista"/>
        <w:numPr>
          <w:ilvl w:val="0"/>
          <w:numId w:val="14"/>
        </w:numPr>
        <w:jc w:val="both"/>
        <w:rPr>
          <w:color w:val="auto"/>
          <w:szCs w:val="21"/>
        </w:rPr>
      </w:pPr>
      <w:r w:rsidRPr="004079B5">
        <w:rPr>
          <w:color w:val="auto"/>
          <w:szCs w:val="21"/>
        </w:rPr>
        <w:t>Existe un mercado creciente de clientes que requieren del servicio de transporte de carga vía ferrocarril, ya que resulta ser un medio de transporte más eficiente para distancias mayores a los 400 km; sin embargo, esto se ve limitado por las deficiencias en el estado de la vía.</w:t>
      </w:r>
    </w:p>
    <w:p w14:paraId="19826267" w14:textId="77777777" w:rsidR="004079B5" w:rsidRPr="004079B5" w:rsidRDefault="004079B5" w:rsidP="004079B5">
      <w:pPr>
        <w:pStyle w:val="Prrafodelista"/>
        <w:ind w:firstLine="0"/>
        <w:jc w:val="both"/>
        <w:rPr>
          <w:color w:val="auto"/>
          <w:szCs w:val="21"/>
        </w:rPr>
      </w:pPr>
    </w:p>
    <w:p w14:paraId="3A05D0C0" w14:textId="77777777" w:rsidR="004079B5" w:rsidRDefault="004079B5" w:rsidP="004079B5">
      <w:pPr>
        <w:pStyle w:val="Ttulo6"/>
      </w:pPr>
      <w:r>
        <w:t>Comparativo con otros sistemas ferroviarios</w:t>
      </w:r>
    </w:p>
    <w:p w14:paraId="0C262C98" w14:textId="77777777" w:rsidR="004079B5" w:rsidRDefault="004079B5" w:rsidP="004079B5">
      <w:pPr>
        <w:jc w:val="both"/>
        <w:rPr>
          <w:szCs w:val="21"/>
        </w:rPr>
      </w:pPr>
    </w:p>
    <w:p w14:paraId="2F898AB4" w14:textId="77777777" w:rsidR="004636A3" w:rsidRPr="004636A3" w:rsidRDefault="004636A3" w:rsidP="004636A3">
      <w:pPr>
        <w:pStyle w:val="Prrafodelista"/>
        <w:numPr>
          <w:ilvl w:val="0"/>
          <w:numId w:val="15"/>
        </w:numPr>
        <w:jc w:val="both"/>
        <w:rPr>
          <w:color w:val="auto"/>
          <w:szCs w:val="21"/>
        </w:rPr>
      </w:pPr>
      <w:r w:rsidRPr="004636A3">
        <w:rPr>
          <w:color w:val="auto"/>
          <w:szCs w:val="21"/>
        </w:rPr>
        <w:t>A partir de la privatización del ferrocarril en México, el transporte de carga por este medio ha crecido en un 6.6 %, además, de acuerdo con cifras oficiales de la SCT en el 2012, más del 25 % de la carga nacional fue transportada a través del Sistema Ferroviario Mexicano (SFM), y se espera que en los próximos años éste capte el 30 % del mercado de transporte de carga del país.</w:t>
      </w:r>
    </w:p>
    <w:p w14:paraId="4A9AD9CE" w14:textId="77777777" w:rsidR="004636A3" w:rsidRPr="004636A3" w:rsidRDefault="004636A3" w:rsidP="004636A3">
      <w:pPr>
        <w:pStyle w:val="Prrafodelista"/>
        <w:ind w:firstLine="0"/>
        <w:jc w:val="both"/>
        <w:rPr>
          <w:color w:val="auto"/>
          <w:szCs w:val="21"/>
        </w:rPr>
      </w:pPr>
    </w:p>
    <w:p w14:paraId="31A29971" w14:textId="77777777" w:rsidR="004636A3" w:rsidRPr="004636A3" w:rsidRDefault="004636A3" w:rsidP="004636A3">
      <w:pPr>
        <w:pStyle w:val="Prrafodelista"/>
        <w:numPr>
          <w:ilvl w:val="0"/>
          <w:numId w:val="15"/>
        </w:numPr>
        <w:jc w:val="both"/>
        <w:rPr>
          <w:color w:val="auto"/>
          <w:szCs w:val="21"/>
        </w:rPr>
      </w:pPr>
      <w:r w:rsidRPr="004636A3">
        <w:rPr>
          <w:color w:val="auto"/>
          <w:szCs w:val="21"/>
        </w:rPr>
        <w:lastRenderedPageBreak/>
        <w:t>La participación del ferrocarril en el transporte de carga es relativamente reducida, pero cuenta con un potencial de crecimiento importante. Actualmente, en Brasil es del orden del 20 % (medida en toneladas km), en México del 11 %, en Argentina del 7 %.</w:t>
      </w:r>
    </w:p>
    <w:p w14:paraId="45E54337" w14:textId="77777777" w:rsidR="004636A3" w:rsidRPr="004636A3" w:rsidRDefault="004636A3" w:rsidP="004636A3">
      <w:pPr>
        <w:pStyle w:val="Prrafodelista"/>
        <w:ind w:firstLine="0"/>
        <w:jc w:val="both"/>
        <w:rPr>
          <w:color w:val="auto"/>
          <w:szCs w:val="21"/>
        </w:rPr>
      </w:pPr>
    </w:p>
    <w:p w14:paraId="0750738B" w14:textId="449CB7BD" w:rsidR="004636A3" w:rsidRPr="004636A3" w:rsidRDefault="004636A3" w:rsidP="004636A3">
      <w:pPr>
        <w:pStyle w:val="Prrafodelista"/>
        <w:numPr>
          <w:ilvl w:val="0"/>
          <w:numId w:val="15"/>
        </w:numPr>
        <w:jc w:val="both"/>
        <w:rPr>
          <w:color w:val="auto"/>
          <w:szCs w:val="21"/>
        </w:rPr>
      </w:pPr>
      <w:r w:rsidRPr="004636A3">
        <w:rPr>
          <w:color w:val="auto"/>
          <w:szCs w:val="21"/>
        </w:rPr>
        <w:t>De acuerdo con el Foro Económico Mundial (WEF</w:t>
      </w:r>
      <w:r w:rsidR="00C249C3">
        <w:rPr>
          <w:color w:val="auto"/>
          <w:szCs w:val="21"/>
        </w:rPr>
        <w:t>,</w:t>
      </w:r>
      <w:r w:rsidRPr="004636A3">
        <w:rPr>
          <w:color w:val="auto"/>
          <w:szCs w:val="21"/>
        </w:rPr>
        <w:t xml:space="preserve"> por sus siglas en inglés), México está situado en el lugar número 64 de 104 en cuanto a la calidad de infraestructura ferroviaria, factor que pertenece al segundo pilar para evaluación de competitividad mundial. Siendo Japón el que ocupa el primer lugar, con 6.69 puntos de 7 máximos, México se coloca en un lugar medianamente aceptable, ya que al compararlo con otros países de Latinoamérica se ubica entre los mejores.</w:t>
      </w:r>
    </w:p>
    <w:p w14:paraId="346D57D0" w14:textId="77777777" w:rsidR="004636A3" w:rsidRPr="004636A3" w:rsidRDefault="004636A3" w:rsidP="004636A3">
      <w:pPr>
        <w:pStyle w:val="Prrafodelista"/>
        <w:ind w:firstLine="0"/>
        <w:jc w:val="both"/>
        <w:rPr>
          <w:color w:val="auto"/>
          <w:szCs w:val="21"/>
        </w:rPr>
      </w:pPr>
    </w:p>
    <w:p w14:paraId="61CEA8DE" w14:textId="77777777" w:rsidR="004636A3" w:rsidRPr="004636A3" w:rsidRDefault="004636A3" w:rsidP="004636A3">
      <w:pPr>
        <w:pStyle w:val="Prrafodelista"/>
        <w:numPr>
          <w:ilvl w:val="0"/>
          <w:numId w:val="15"/>
        </w:numPr>
        <w:jc w:val="both"/>
        <w:rPr>
          <w:color w:val="auto"/>
          <w:szCs w:val="21"/>
        </w:rPr>
      </w:pPr>
      <w:r w:rsidRPr="004636A3">
        <w:rPr>
          <w:color w:val="auto"/>
          <w:szCs w:val="21"/>
        </w:rPr>
        <w:t>Para América Latina, la relación empleados-tarifa no es proporcional. En México las empresas ferroviarias cobran en promedio 3 centavos de dólar americano por tonelada/kilómetro, lo cual representa la tarifa más baja entre los países de la región, donde el costo más elevado está a cargo de la empresa Ferrovía Tereza Cristiana, que cobra 16.2 centavos de dólar por tonelada/kilómetro, seguido del Ferrocarril Central Andino, con 6.5 centavos, y Ferrovía Centro Atlántica, con 5.4 centavos de dólar. Es así como la tarifa mexicana se posiciona como la más barata de la región.</w:t>
      </w:r>
    </w:p>
    <w:p w14:paraId="5031327A" w14:textId="77777777" w:rsidR="004636A3" w:rsidRPr="004636A3" w:rsidRDefault="004636A3" w:rsidP="004636A3">
      <w:pPr>
        <w:pStyle w:val="Prrafodelista"/>
        <w:ind w:firstLine="0"/>
        <w:jc w:val="both"/>
        <w:rPr>
          <w:color w:val="auto"/>
          <w:szCs w:val="21"/>
        </w:rPr>
      </w:pPr>
    </w:p>
    <w:p w14:paraId="0A6A4665" w14:textId="77777777" w:rsidR="004636A3" w:rsidRPr="004636A3" w:rsidRDefault="004636A3" w:rsidP="004636A3">
      <w:pPr>
        <w:pStyle w:val="Prrafodelista"/>
        <w:numPr>
          <w:ilvl w:val="0"/>
          <w:numId w:val="15"/>
        </w:numPr>
        <w:jc w:val="both"/>
        <w:rPr>
          <w:color w:val="auto"/>
          <w:szCs w:val="21"/>
        </w:rPr>
      </w:pPr>
      <w:r w:rsidRPr="004636A3">
        <w:rPr>
          <w:color w:val="auto"/>
          <w:szCs w:val="21"/>
        </w:rPr>
        <w:t>Con el objetivo de realizar una comparación homogénea entre los diferentes concesionarios ferroviarios nacionales y el FIT, se diseñó un indicador que mida los aspectos más relevantes de las empresas ferroviarias en México, además de relacionarlas para el logro del objetivo del presente documento, a saber, evaluar el Costo-Efectividad del Programa Presupuestario. Este indicador se denomina Efectividad Total de la Vía (ETV).</w:t>
      </w:r>
    </w:p>
    <w:p w14:paraId="2A1B3C87" w14:textId="77777777" w:rsidR="004636A3" w:rsidRPr="004636A3" w:rsidRDefault="004636A3" w:rsidP="004636A3">
      <w:pPr>
        <w:pStyle w:val="Prrafodelista"/>
        <w:ind w:firstLine="0"/>
        <w:jc w:val="both"/>
        <w:rPr>
          <w:color w:val="auto"/>
          <w:szCs w:val="21"/>
        </w:rPr>
      </w:pPr>
    </w:p>
    <w:p w14:paraId="71EDC47B" w14:textId="77777777" w:rsidR="004636A3" w:rsidRDefault="004636A3" w:rsidP="004636A3">
      <w:pPr>
        <w:pStyle w:val="Prrafodelista"/>
        <w:numPr>
          <w:ilvl w:val="0"/>
          <w:numId w:val="15"/>
        </w:numPr>
        <w:jc w:val="both"/>
        <w:rPr>
          <w:color w:val="auto"/>
          <w:szCs w:val="21"/>
        </w:rPr>
      </w:pPr>
      <w:r w:rsidRPr="004636A3">
        <w:rPr>
          <w:color w:val="auto"/>
          <w:szCs w:val="21"/>
        </w:rPr>
        <w:t>Los resultados indican que Chiapas-Mayab (CFCHM) presentan el nivel más bajo de eficiencia total (46.08 %) lo cual resulta congruente con la utilización real de su capacidad de carga y el considerable índice de accidentes que presentan por fallas en las vías, locomotoras y carros de carga. Sin embargo, y visto desde otro ángulo, presentan una oportunidad de crecimiento significativa de acuerdo a sus capacidades de 53.92 % para CFCHM.</w:t>
      </w:r>
    </w:p>
    <w:p w14:paraId="4997A0CA" w14:textId="77777777" w:rsidR="004636A3" w:rsidRPr="004636A3" w:rsidRDefault="004636A3" w:rsidP="004636A3">
      <w:pPr>
        <w:pStyle w:val="Prrafodelista"/>
        <w:rPr>
          <w:color w:val="auto"/>
          <w:szCs w:val="21"/>
        </w:rPr>
      </w:pPr>
    </w:p>
    <w:p w14:paraId="590033D5" w14:textId="77777777" w:rsidR="004636A3" w:rsidRPr="004636A3" w:rsidRDefault="004636A3" w:rsidP="004636A3">
      <w:pPr>
        <w:pStyle w:val="Prrafodelista"/>
        <w:numPr>
          <w:ilvl w:val="0"/>
          <w:numId w:val="15"/>
        </w:numPr>
        <w:jc w:val="both"/>
        <w:rPr>
          <w:color w:val="auto"/>
          <w:szCs w:val="21"/>
        </w:rPr>
      </w:pPr>
      <w:r w:rsidRPr="004636A3">
        <w:rPr>
          <w:color w:val="auto"/>
          <w:szCs w:val="21"/>
        </w:rPr>
        <w:t>El FIT presenta áreas de oportunidad en cuanto a la efectividad en la utilización de su capacidad instalada; de incrementarse, se obtendrían menores costos de recorrido que impactarían de manera positiva en sus resultados operativos.</w:t>
      </w:r>
    </w:p>
    <w:p w14:paraId="43CEBD8A" w14:textId="77777777" w:rsidR="0047439C" w:rsidRDefault="0047439C" w:rsidP="004636A3">
      <w:pPr>
        <w:ind w:left="360"/>
        <w:jc w:val="both"/>
        <w:rPr>
          <w:szCs w:val="21"/>
        </w:rPr>
      </w:pPr>
    </w:p>
    <w:p w14:paraId="6D4A1F23" w14:textId="77777777" w:rsidR="0047439C" w:rsidRDefault="0047439C" w:rsidP="0047439C">
      <w:pPr>
        <w:pStyle w:val="Ttulo2"/>
      </w:pPr>
      <w:r>
        <w:t>Principales Recomendaciones</w:t>
      </w:r>
    </w:p>
    <w:p w14:paraId="4F9970E8" w14:textId="77777777" w:rsidR="004636A3" w:rsidRDefault="004636A3" w:rsidP="004636A3">
      <w:pPr>
        <w:ind w:left="360"/>
        <w:jc w:val="both"/>
        <w:rPr>
          <w:szCs w:val="21"/>
        </w:rPr>
      </w:pPr>
    </w:p>
    <w:p w14:paraId="4C8D6366" w14:textId="77777777" w:rsidR="0047439C" w:rsidRPr="0047439C" w:rsidRDefault="0047439C" w:rsidP="0047439C">
      <w:pPr>
        <w:pStyle w:val="Prrafodelista"/>
        <w:numPr>
          <w:ilvl w:val="0"/>
          <w:numId w:val="15"/>
        </w:numPr>
        <w:jc w:val="both"/>
        <w:rPr>
          <w:color w:val="auto"/>
          <w:szCs w:val="21"/>
        </w:rPr>
      </w:pPr>
      <w:r w:rsidRPr="0047439C">
        <w:rPr>
          <w:color w:val="auto"/>
          <w:szCs w:val="21"/>
        </w:rPr>
        <w:t>El Istmo de Tehuantepec representa una zona estratégica para nuestro país, tanto por su importancia geográfica en materia de transporte de mercancías en la región sureste, como por la riqueza de recursos que se encuentran en esta zona. En este sentido, presenta un área de oportunidad para aprovechar la capacidad instalada con la que cuenta el FIT y puede ser un factor determinante para el desarrollo económico de esta zona.</w:t>
      </w:r>
    </w:p>
    <w:p w14:paraId="672B2834" w14:textId="77777777" w:rsidR="0047439C" w:rsidRPr="0047439C" w:rsidRDefault="0047439C" w:rsidP="0047439C">
      <w:pPr>
        <w:pStyle w:val="Prrafodelista"/>
        <w:ind w:firstLine="0"/>
        <w:jc w:val="both"/>
        <w:rPr>
          <w:color w:val="auto"/>
          <w:szCs w:val="21"/>
        </w:rPr>
      </w:pPr>
    </w:p>
    <w:p w14:paraId="7DB23F29" w14:textId="77777777" w:rsidR="0047439C" w:rsidRPr="0047439C" w:rsidRDefault="0047439C" w:rsidP="0047439C">
      <w:pPr>
        <w:pStyle w:val="Prrafodelista"/>
        <w:numPr>
          <w:ilvl w:val="0"/>
          <w:numId w:val="15"/>
        </w:numPr>
        <w:jc w:val="both"/>
        <w:rPr>
          <w:color w:val="auto"/>
          <w:szCs w:val="21"/>
        </w:rPr>
      </w:pPr>
      <w:r w:rsidRPr="0047439C">
        <w:rPr>
          <w:color w:val="auto"/>
          <w:szCs w:val="21"/>
        </w:rPr>
        <w:t xml:space="preserve">El diseño de políticas públicas para atender a la región sur-sureste, tanto en materia de transporte como en otros sectores del ámbito social y económico, resultarían de gran </w:t>
      </w:r>
      <w:r w:rsidRPr="0047439C">
        <w:rPr>
          <w:color w:val="auto"/>
          <w:szCs w:val="21"/>
        </w:rPr>
        <w:lastRenderedPageBreak/>
        <w:t>impacto para una zona que se caracteriza por sus retos en materia de crecimiento y calidad de vida de la población.</w:t>
      </w:r>
    </w:p>
    <w:p w14:paraId="3A2DF3CB" w14:textId="77777777" w:rsidR="0047439C" w:rsidRPr="0047439C" w:rsidRDefault="0047439C" w:rsidP="0047439C">
      <w:pPr>
        <w:pStyle w:val="Prrafodelista"/>
        <w:ind w:firstLine="0"/>
        <w:jc w:val="both"/>
        <w:rPr>
          <w:color w:val="auto"/>
          <w:szCs w:val="21"/>
        </w:rPr>
      </w:pPr>
    </w:p>
    <w:p w14:paraId="0FEE7BCE" w14:textId="77777777" w:rsidR="0047439C" w:rsidRPr="0047439C" w:rsidRDefault="0047439C" w:rsidP="0047439C">
      <w:pPr>
        <w:pStyle w:val="Prrafodelista"/>
        <w:numPr>
          <w:ilvl w:val="0"/>
          <w:numId w:val="15"/>
        </w:numPr>
        <w:jc w:val="both"/>
        <w:rPr>
          <w:color w:val="auto"/>
          <w:szCs w:val="21"/>
        </w:rPr>
      </w:pPr>
      <w:r w:rsidRPr="0047439C">
        <w:rPr>
          <w:color w:val="auto"/>
          <w:szCs w:val="21"/>
        </w:rPr>
        <w:t>Se recomienda ampliamente que el FIT dé continuidad al programa de optimización de recursos que actualmente desarrolla; que en uno de sus puntos clave busca la colocación de los recursos en actividades que resulten prioritarias.</w:t>
      </w:r>
    </w:p>
    <w:p w14:paraId="4B104522" w14:textId="77777777" w:rsidR="0047439C" w:rsidRPr="0047439C" w:rsidRDefault="0047439C" w:rsidP="0047439C">
      <w:pPr>
        <w:pStyle w:val="Prrafodelista"/>
        <w:ind w:firstLine="0"/>
        <w:jc w:val="both"/>
        <w:rPr>
          <w:color w:val="auto"/>
          <w:szCs w:val="21"/>
        </w:rPr>
      </w:pPr>
    </w:p>
    <w:p w14:paraId="4A390523" w14:textId="77777777" w:rsidR="0047439C" w:rsidRPr="0047439C" w:rsidRDefault="0047439C" w:rsidP="0047439C">
      <w:pPr>
        <w:pStyle w:val="Prrafodelista"/>
        <w:numPr>
          <w:ilvl w:val="0"/>
          <w:numId w:val="15"/>
        </w:numPr>
        <w:jc w:val="both"/>
        <w:rPr>
          <w:color w:val="auto"/>
          <w:szCs w:val="21"/>
        </w:rPr>
      </w:pPr>
      <w:r w:rsidRPr="0047439C">
        <w:rPr>
          <w:color w:val="auto"/>
          <w:szCs w:val="21"/>
        </w:rPr>
        <w:t>La realización de un estudio de mercado en la región donde opera el FIT y Chiapas-Mayab, permitiría hacer una prospección más clara de los ingresos propios que generaría la entidad, así como identificar oportunidades de negocio para el transporte de carga.</w:t>
      </w:r>
    </w:p>
    <w:p w14:paraId="0886FD1D" w14:textId="77777777" w:rsidR="0047439C" w:rsidRPr="0047439C" w:rsidRDefault="0047439C" w:rsidP="0047439C">
      <w:pPr>
        <w:pStyle w:val="Prrafodelista"/>
        <w:ind w:firstLine="0"/>
        <w:jc w:val="both"/>
        <w:rPr>
          <w:color w:val="auto"/>
          <w:szCs w:val="21"/>
        </w:rPr>
      </w:pPr>
    </w:p>
    <w:p w14:paraId="3DA8FC81" w14:textId="77777777" w:rsidR="0047439C" w:rsidRPr="0047439C" w:rsidRDefault="0047439C" w:rsidP="0047439C">
      <w:pPr>
        <w:pStyle w:val="Prrafodelista"/>
        <w:numPr>
          <w:ilvl w:val="0"/>
          <w:numId w:val="15"/>
        </w:numPr>
        <w:jc w:val="both"/>
        <w:rPr>
          <w:color w:val="auto"/>
          <w:szCs w:val="21"/>
        </w:rPr>
      </w:pPr>
      <w:r w:rsidRPr="0047439C">
        <w:rPr>
          <w:color w:val="auto"/>
          <w:szCs w:val="21"/>
        </w:rPr>
        <w:t>Se considera que el FIT debe maximizar su posicionamiento geográfico y su capacidad instalada, para ser el agente económico, en materia de transporte de carga, más importante de la región.</w:t>
      </w:r>
    </w:p>
    <w:p w14:paraId="16EBB8D5" w14:textId="77777777" w:rsidR="0047439C" w:rsidRDefault="0047439C" w:rsidP="0047439C">
      <w:pPr>
        <w:ind w:left="360"/>
        <w:jc w:val="both"/>
        <w:rPr>
          <w:szCs w:val="21"/>
        </w:rPr>
      </w:pPr>
    </w:p>
    <w:p w14:paraId="6C1E804B" w14:textId="77777777" w:rsidR="0047439C" w:rsidRDefault="0047439C" w:rsidP="0047439C">
      <w:pPr>
        <w:pStyle w:val="Ttulo2"/>
      </w:pPr>
      <w:r>
        <w:t>Principales Conclusiones</w:t>
      </w:r>
    </w:p>
    <w:p w14:paraId="692CB0EF" w14:textId="77777777" w:rsidR="0047439C" w:rsidRDefault="0047439C" w:rsidP="0047439C">
      <w:pPr>
        <w:jc w:val="both"/>
        <w:rPr>
          <w:szCs w:val="21"/>
        </w:rPr>
      </w:pPr>
    </w:p>
    <w:p w14:paraId="728CAC0B" w14:textId="77777777" w:rsidR="0047439C" w:rsidRDefault="0047439C" w:rsidP="0047439C">
      <w:pPr>
        <w:pStyle w:val="Prrafodelista"/>
        <w:numPr>
          <w:ilvl w:val="0"/>
          <w:numId w:val="17"/>
        </w:numPr>
        <w:jc w:val="both"/>
        <w:rPr>
          <w:color w:val="auto"/>
          <w:szCs w:val="21"/>
        </w:rPr>
      </w:pPr>
      <w:r w:rsidRPr="0047439C">
        <w:rPr>
          <w:color w:val="auto"/>
          <w:szCs w:val="21"/>
        </w:rPr>
        <w:t>El PP E022 se encuentra enmarcado en una lógica de reingeniería del gasto público, misma que propició la fusión de los PP E011 y del propio E022, con la finalidad de mejorar la eficiencia en el gasto público y fortalecer la forma en que estos programas generan resultados.</w:t>
      </w:r>
    </w:p>
    <w:p w14:paraId="19B11F6E" w14:textId="77777777" w:rsidR="0047439C" w:rsidRDefault="0047439C" w:rsidP="0047439C">
      <w:pPr>
        <w:pStyle w:val="Prrafodelista"/>
        <w:ind w:firstLine="0"/>
        <w:jc w:val="both"/>
        <w:rPr>
          <w:color w:val="auto"/>
          <w:szCs w:val="21"/>
        </w:rPr>
      </w:pPr>
    </w:p>
    <w:p w14:paraId="3B0F7522" w14:textId="77777777" w:rsidR="0047439C" w:rsidRDefault="0047439C" w:rsidP="0047439C">
      <w:pPr>
        <w:pStyle w:val="Prrafodelista"/>
        <w:numPr>
          <w:ilvl w:val="0"/>
          <w:numId w:val="17"/>
        </w:numPr>
        <w:jc w:val="both"/>
        <w:rPr>
          <w:color w:val="auto"/>
          <w:szCs w:val="21"/>
        </w:rPr>
      </w:pPr>
      <w:r w:rsidRPr="0047439C">
        <w:rPr>
          <w:color w:val="auto"/>
          <w:szCs w:val="21"/>
        </w:rPr>
        <w:t xml:space="preserve">La fusión de los PP E011 y E022, a causa de su complementariedad, presenta un potencial de generar mejores resultados al crear sinergias entre las actividades que desarrollaba cada uno de ellos de manera independiente. </w:t>
      </w:r>
    </w:p>
    <w:p w14:paraId="5B0D7FB4" w14:textId="77777777" w:rsidR="0047439C" w:rsidRPr="0047439C" w:rsidRDefault="0047439C" w:rsidP="0047439C">
      <w:pPr>
        <w:pStyle w:val="Prrafodelista"/>
        <w:rPr>
          <w:color w:val="auto"/>
          <w:szCs w:val="21"/>
        </w:rPr>
      </w:pPr>
    </w:p>
    <w:p w14:paraId="2FE8FAE0" w14:textId="77777777" w:rsidR="0047439C" w:rsidRDefault="0047439C" w:rsidP="0047439C">
      <w:pPr>
        <w:pStyle w:val="Prrafodelista"/>
        <w:numPr>
          <w:ilvl w:val="0"/>
          <w:numId w:val="17"/>
        </w:numPr>
        <w:jc w:val="both"/>
        <w:rPr>
          <w:color w:val="auto"/>
          <w:szCs w:val="21"/>
        </w:rPr>
      </w:pPr>
      <w:r w:rsidRPr="0047439C">
        <w:rPr>
          <w:color w:val="auto"/>
          <w:szCs w:val="21"/>
        </w:rPr>
        <w:t>Con el diseño del PP E022 se demuestra que el FIT busca mejorar la operación de las vías que le fueron asignadas para que se encuentren en condiciones óptimas, que posibiliten un uso operativo seguro y eficiente para atender a los usuarios.</w:t>
      </w:r>
    </w:p>
    <w:p w14:paraId="17ED3F17" w14:textId="77777777" w:rsidR="0047439C" w:rsidRPr="0047439C" w:rsidRDefault="0047439C" w:rsidP="0047439C">
      <w:pPr>
        <w:pStyle w:val="Prrafodelista"/>
        <w:rPr>
          <w:color w:val="auto"/>
          <w:szCs w:val="21"/>
        </w:rPr>
      </w:pPr>
    </w:p>
    <w:p w14:paraId="039A156C" w14:textId="77777777" w:rsidR="0047439C" w:rsidRDefault="0047439C" w:rsidP="0047439C">
      <w:pPr>
        <w:pStyle w:val="Prrafodelista"/>
        <w:numPr>
          <w:ilvl w:val="0"/>
          <w:numId w:val="17"/>
        </w:numPr>
        <w:jc w:val="both"/>
        <w:rPr>
          <w:color w:val="auto"/>
          <w:szCs w:val="21"/>
        </w:rPr>
      </w:pPr>
      <w:r w:rsidRPr="0047439C">
        <w:rPr>
          <w:color w:val="auto"/>
          <w:szCs w:val="21"/>
        </w:rPr>
        <w:t>Los esfuerzos desarrollados por el Gobierno Federal para desarrollar una infraestructura de transportes competitiva, han logrado mantener a México con índices relevantes respecto a sus principales socios comerciales. De acuerdo con información del Foro Económico Mundial, el país se ubica en el lugar 64 con una calificación de 4.1 de una escala que va del 1 al 7; lo que lo sitúa por encima de la media y a niveles comparables con países como China, Chile y Brasil.</w:t>
      </w:r>
    </w:p>
    <w:p w14:paraId="49348F53" w14:textId="77777777" w:rsidR="0047439C" w:rsidRPr="0047439C" w:rsidRDefault="0047439C" w:rsidP="0047439C">
      <w:pPr>
        <w:pStyle w:val="Prrafodelista"/>
        <w:ind w:firstLine="0"/>
        <w:jc w:val="both"/>
        <w:rPr>
          <w:color w:val="auto"/>
          <w:szCs w:val="21"/>
        </w:rPr>
      </w:pPr>
    </w:p>
    <w:p w14:paraId="006B3ABF" w14:textId="77777777" w:rsidR="0047439C" w:rsidRDefault="0047439C" w:rsidP="0047439C">
      <w:pPr>
        <w:pStyle w:val="Prrafodelista"/>
        <w:numPr>
          <w:ilvl w:val="0"/>
          <w:numId w:val="17"/>
        </w:numPr>
        <w:jc w:val="both"/>
        <w:rPr>
          <w:color w:val="auto"/>
          <w:szCs w:val="21"/>
        </w:rPr>
      </w:pPr>
      <w:r w:rsidRPr="0047439C">
        <w:rPr>
          <w:color w:val="auto"/>
          <w:szCs w:val="21"/>
        </w:rPr>
        <w:t>Destaca el hecho de que el PP E022 representó en promedio, 83.8 % de los recursos presupuestados para el periodo 2012-2014, mientras que al PP E011 que se refiere a la conservación de la infraestructura ferroviaria se le asignó en promedio el 13.4 %. Lo anterior implica que este programa resalta la razón de ser del FIT.</w:t>
      </w:r>
    </w:p>
    <w:p w14:paraId="2CB971D4" w14:textId="77777777" w:rsidR="0047439C" w:rsidRPr="0047439C" w:rsidRDefault="0047439C" w:rsidP="0047439C">
      <w:pPr>
        <w:pStyle w:val="Prrafodelista"/>
        <w:rPr>
          <w:color w:val="auto"/>
          <w:szCs w:val="21"/>
        </w:rPr>
      </w:pPr>
    </w:p>
    <w:p w14:paraId="61508D95" w14:textId="77777777" w:rsidR="0047439C" w:rsidRDefault="0047439C" w:rsidP="0047439C">
      <w:pPr>
        <w:pStyle w:val="Prrafodelista"/>
        <w:numPr>
          <w:ilvl w:val="0"/>
          <w:numId w:val="17"/>
        </w:numPr>
        <w:jc w:val="both"/>
        <w:rPr>
          <w:color w:val="auto"/>
          <w:szCs w:val="21"/>
        </w:rPr>
      </w:pPr>
      <w:r w:rsidRPr="0047439C">
        <w:rPr>
          <w:color w:val="auto"/>
          <w:szCs w:val="21"/>
        </w:rPr>
        <w:t xml:space="preserve">La Línea K incrementó el número de toneladas movidas en 130.3 %, al pasar de 4,819 en 2011 a 11,096 toneladas en este último año. Para el periodo 2013, hubo un incremento sustantivo en las toneladas movidas, impulsado principalmente por el cemento, que </w:t>
      </w:r>
      <w:r w:rsidRPr="0047439C">
        <w:rPr>
          <w:color w:val="auto"/>
          <w:szCs w:val="21"/>
        </w:rPr>
        <w:lastRenderedPageBreak/>
        <w:t>representó más del 80 %; mientras que para 2014 se observó una ligera caída derivada de una menor demanda y diversificación de los materiales.</w:t>
      </w:r>
    </w:p>
    <w:p w14:paraId="6A5481FA" w14:textId="77777777" w:rsidR="0047439C" w:rsidRPr="0047439C" w:rsidRDefault="0047439C" w:rsidP="0047439C">
      <w:pPr>
        <w:pStyle w:val="Prrafodelista"/>
        <w:rPr>
          <w:color w:val="auto"/>
          <w:szCs w:val="21"/>
        </w:rPr>
      </w:pPr>
    </w:p>
    <w:p w14:paraId="470B4B1B" w14:textId="77777777" w:rsidR="0047439C" w:rsidRDefault="0047439C" w:rsidP="0047439C">
      <w:pPr>
        <w:pStyle w:val="Prrafodelista"/>
        <w:numPr>
          <w:ilvl w:val="0"/>
          <w:numId w:val="17"/>
        </w:numPr>
        <w:jc w:val="both"/>
        <w:rPr>
          <w:color w:val="auto"/>
          <w:szCs w:val="21"/>
        </w:rPr>
      </w:pPr>
      <w:r w:rsidRPr="0047439C">
        <w:rPr>
          <w:color w:val="auto"/>
          <w:szCs w:val="21"/>
        </w:rPr>
        <w:t>En la Línea Z, que va de Medias Aguas, Veracruz a Salina Cruz, Oaxaca, el movimiento de carga del FIT en el año 2012 fue de alrededor de 556,713 toneladas; para 2013 se observó un incremento de 18.8 %. Y en 2014, a pesar de que el comportamiento positivo de la carga movida por la entidad se revirtió, se mantuvo la participación del traslado de materiales importantes, como el cemento, fierro y trigo.</w:t>
      </w:r>
    </w:p>
    <w:p w14:paraId="174D2B3E" w14:textId="77777777" w:rsidR="0047439C" w:rsidRPr="0047439C" w:rsidRDefault="0047439C" w:rsidP="0047439C">
      <w:pPr>
        <w:pStyle w:val="Prrafodelista"/>
        <w:rPr>
          <w:color w:val="auto"/>
          <w:szCs w:val="21"/>
        </w:rPr>
      </w:pPr>
    </w:p>
    <w:p w14:paraId="0680BA9A" w14:textId="77777777" w:rsidR="0047439C" w:rsidRDefault="0047439C" w:rsidP="0047439C">
      <w:pPr>
        <w:pStyle w:val="Prrafodelista"/>
        <w:numPr>
          <w:ilvl w:val="0"/>
          <w:numId w:val="17"/>
        </w:numPr>
        <w:jc w:val="both"/>
        <w:rPr>
          <w:color w:val="auto"/>
          <w:szCs w:val="21"/>
        </w:rPr>
      </w:pPr>
      <w:r w:rsidRPr="0047439C">
        <w:rPr>
          <w:color w:val="auto"/>
          <w:szCs w:val="21"/>
        </w:rPr>
        <w:t xml:space="preserve">En la Línea F, caracterizada por tener un movimiento de carga mayor al de las líneas K y Z, las cantidades movidas se redujeron de manera importante a lo largo del periodo de estudio. </w:t>
      </w:r>
    </w:p>
    <w:p w14:paraId="13834797" w14:textId="77777777" w:rsidR="0047439C" w:rsidRPr="0047439C" w:rsidRDefault="0047439C" w:rsidP="0047439C">
      <w:pPr>
        <w:pStyle w:val="Prrafodelista"/>
        <w:rPr>
          <w:color w:val="auto"/>
          <w:szCs w:val="21"/>
        </w:rPr>
      </w:pPr>
    </w:p>
    <w:p w14:paraId="2E5E34B0" w14:textId="77777777" w:rsidR="0047439C" w:rsidRPr="0047439C" w:rsidRDefault="0047439C" w:rsidP="0047439C">
      <w:pPr>
        <w:pStyle w:val="Prrafodelista"/>
        <w:numPr>
          <w:ilvl w:val="0"/>
          <w:numId w:val="17"/>
        </w:numPr>
        <w:jc w:val="both"/>
        <w:rPr>
          <w:color w:val="auto"/>
          <w:szCs w:val="21"/>
        </w:rPr>
      </w:pPr>
      <w:r w:rsidRPr="0047439C">
        <w:rPr>
          <w:color w:val="auto"/>
          <w:szCs w:val="21"/>
        </w:rPr>
        <w:t>La operación del servicio de transporte ferroviario de carga y la conservación de la infraestructura ferroviaria no están exentas de factores de riesgos internos y externos que pudieran afectar el logro de sus objetivos. Tomando en cuenta la escala establecida por la Secretaría de la Función Pública (SFP) para los órganos administrativos desconcentrados y entidades de la Administración Pública Federal (APF) para la valoración de sus riesgos estratégicos, así como las Matrices de Administración de Riesgos de los años 2012, 2013 y 2014 proporcionadas por el FIT, se determinó que la mayoría de los riesgos del FIT están relacionados con la etapa de operación.</w:t>
      </w:r>
    </w:p>
    <w:p w14:paraId="6F180CB1" w14:textId="77777777" w:rsidR="0047439C" w:rsidRDefault="0047439C" w:rsidP="0047439C">
      <w:pPr>
        <w:pStyle w:val="Prrafodelista"/>
        <w:ind w:firstLine="0"/>
        <w:jc w:val="both"/>
        <w:rPr>
          <w:color w:val="auto"/>
          <w:szCs w:val="21"/>
        </w:rPr>
      </w:pPr>
    </w:p>
    <w:p w14:paraId="08ABCA74" w14:textId="77777777" w:rsidR="0047439C" w:rsidRPr="0047439C" w:rsidRDefault="0047439C" w:rsidP="0047439C">
      <w:pPr>
        <w:pStyle w:val="Prrafodelista"/>
        <w:numPr>
          <w:ilvl w:val="0"/>
          <w:numId w:val="17"/>
        </w:numPr>
        <w:jc w:val="both"/>
        <w:rPr>
          <w:color w:val="auto"/>
          <w:szCs w:val="21"/>
        </w:rPr>
      </w:pPr>
      <w:r w:rsidRPr="0047439C">
        <w:rPr>
          <w:color w:val="auto"/>
          <w:szCs w:val="21"/>
        </w:rPr>
        <w:t>En materia de seguridad, durante el periodo 2012-2014, se observa cierto incremento en el número de accidentes en las líneas operadas por el FIT. Destacando aquellos asociados con el estado de la vía, lo que da indicios sobre la necesidad de destinar mayores recursos para su revisión y conservación y, en su caso, rehabilitación.</w:t>
      </w:r>
    </w:p>
    <w:p w14:paraId="41828A33" w14:textId="77777777" w:rsidR="0047439C" w:rsidRDefault="0047439C" w:rsidP="0047439C">
      <w:pPr>
        <w:pStyle w:val="Prrafodelista"/>
        <w:ind w:firstLine="0"/>
        <w:jc w:val="both"/>
        <w:rPr>
          <w:color w:val="auto"/>
          <w:szCs w:val="21"/>
        </w:rPr>
      </w:pPr>
    </w:p>
    <w:p w14:paraId="47FC99FF" w14:textId="77777777" w:rsidR="0047439C" w:rsidRPr="0047439C" w:rsidRDefault="0047439C" w:rsidP="0047439C">
      <w:pPr>
        <w:pStyle w:val="Prrafodelista"/>
        <w:numPr>
          <w:ilvl w:val="0"/>
          <w:numId w:val="17"/>
        </w:numPr>
        <w:jc w:val="both"/>
        <w:rPr>
          <w:color w:val="auto"/>
          <w:szCs w:val="21"/>
        </w:rPr>
      </w:pPr>
      <w:r w:rsidRPr="0047439C">
        <w:rPr>
          <w:color w:val="auto"/>
          <w:szCs w:val="21"/>
        </w:rPr>
        <w:t>Los resultados comparativos con otros sistemas ferroviarios a nivel nacional indican, medidos a través de la Efectividad Total de la Vía que Chiapas-Mayab (CFCHM) presentan el nivel más bajo de eficiencia total (46.08 %) lo cual resulta congruente con la utilización real de su capacidad de carga y el considerable índice de accidentes que presentan por fallas en las vías, locomotoras y carros de carga. Sin embargo, y visto desde otro ángulo, presentan una oportunidad de crecimiento significativa de acuerdo a sus capacidades de 53.92 % para CFCHM.</w:t>
      </w:r>
    </w:p>
    <w:p w14:paraId="40ACB2D0" w14:textId="77777777" w:rsidR="0047439C" w:rsidRDefault="0047439C" w:rsidP="0047439C">
      <w:pPr>
        <w:jc w:val="both"/>
        <w:rPr>
          <w:szCs w:val="21"/>
        </w:rPr>
      </w:pPr>
    </w:p>
    <w:p w14:paraId="3C54B3F9" w14:textId="77777777" w:rsidR="00C835EE" w:rsidRDefault="00C835EE" w:rsidP="0047439C">
      <w:pPr>
        <w:jc w:val="both"/>
        <w:rPr>
          <w:szCs w:val="21"/>
        </w:rPr>
      </w:pPr>
    </w:p>
    <w:p w14:paraId="493A1B0E" w14:textId="77777777" w:rsidR="00635DEE" w:rsidRDefault="00635DEE">
      <w:pPr>
        <w:spacing w:after="0" w:line="240" w:lineRule="auto"/>
        <w:rPr>
          <w:rFonts w:eastAsia="HGMaruGothicMPRO"/>
          <w:b/>
          <w:bCs/>
          <w:color w:val="0F6FC6"/>
          <w:sz w:val="28"/>
          <w:szCs w:val="26"/>
        </w:rPr>
      </w:pPr>
      <w:r>
        <w:br w:type="page"/>
      </w:r>
    </w:p>
    <w:p w14:paraId="18892C34" w14:textId="470C9843" w:rsidR="00C835EE" w:rsidRDefault="00C835EE" w:rsidP="00C835EE">
      <w:pPr>
        <w:pStyle w:val="Ttulo2"/>
      </w:pPr>
      <w:r>
        <w:lastRenderedPageBreak/>
        <w:t xml:space="preserve">Ficha técnica </w:t>
      </w:r>
      <w:r w:rsidR="00630DB7">
        <w:t>de la evaluación</w:t>
      </w:r>
    </w:p>
    <w:p w14:paraId="61718B13" w14:textId="77777777" w:rsidR="00C835EE" w:rsidRDefault="00C835EE" w:rsidP="0047439C">
      <w:pPr>
        <w:jc w:val="both"/>
        <w:rPr>
          <w:szCs w:val="21"/>
        </w:rPr>
      </w:pPr>
    </w:p>
    <w:tbl>
      <w:tblPr>
        <w:tblW w:w="5000" w:type="pct"/>
        <w:tblBorders>
          <w:top w:val="single" w:sz="24" w:space="0" w:color="009DD9"/>
          <w:left w:val="single" w:sz="4" w:space="0" w:color="009DD9"/>
          <w:bottom w:val="single" w:sz="4" w:space="0" w:color="009DD9"/>
          <w:right w:val="single" w:sz="4" w:space="0" w:color="009DD9"/>
          <w:insideH w:val="single" w:sz="4" w:space="0" w:color="FFFFFF"/>
          <w:insideV w:val="single" w:sz="4" w:space="0" w:color="FFFFFF"/>
        </w:tblBorders>
        <w:tblLayout w:type="fixed"/>
        <w:tblLook w:val="00A0" w:firstRow="1" w:lastRow="0" w:firstColumn="1" w:lastColumn="0" w:noHBand="0" w:noVBand="0"/>
      </w:tblPr>
      <w:tblGrid>
        <w:gridCol w:w="1352"/>
        <w:gridCol w:w="1660"/>
        <w:gridCol w:w="7"/>
        <w:gridCol w:w="1931"/>
        <w:gridCol w:w="1938"/>
        <w:gridCol w:w="2458"/>
      </w:tblGrid>
      <w:tr w:rsidR="00C835EE" w:rsidRPr="009A34C4" w14:paraId="6710A2B9" w14:textId="77777777" w:rsidTr="00630DB7">
        <w:trPr>
          <w:trHeight w:val="674"/>
          <w:tblHeader/>
        </w:trPr>
        <w:tc>
          <w:tcPr>
            <w:tcW w:w="1615" w:type="pct"/>
            <w:gridSpan w:val="3"/>
            <w:tcBorders>
              <w:top w:val="single" w:sz="8" w:space="0" w:color="002060"/>
              <w:left w:val="single" w:sz="4" w:space="0" w:color="073763"/>
              <w:bottom w:val="single" w:sz="8" w:space="0" w:color="002060"/>
              <w:right w:val="single" w:sz="4" w:space="0" w:color="073763"/>
            </w:tcBorders>
            <w:shd w:val="clear" w:color="auto" w:fill="0070C0"/>
            <w:vAlign w:val="center"/>
          </w:tcPr>
          <w:p w14:paraId="5BF13CFB" w14:textId="77777777" w:rsidR="00C835EE" w:rsidRPr="0091266F" w:rsidRDefault="00C835EE" w:rsidP="00BD43ED">
            <w:pPr>
              <w:spacing w:before="40"/>
              <w:jc w:val="center"/>
              <w:rPr>
                <w:b/>
                <w:bCs/>
                <w:color w:val="DBF5F9"/>
                <w:sz w:val="20"/>
                <w:szCs w:val="20"/>
                <w:lang w:val="es-ES_tradnl" w:eastAsia="ja-JP"/>
              </w:rPr>
            </w:pPr>
            <w:r>
              <w:rPr>
                <w:b/>
                <w:bCs/>
                <w:color w:val="DBF5F9"/>
                <w:sz w:val="20"/>
                <w:szCs w:val="20"/>
                <w:lang w:val="es-ES_tradnl" w:eastAsia="ja-JP"/>
              </w:rPr>
              <w:t>Evaluador Externo</w:t>
            </w:r>
          </w:p>
        </w:tc>
        <w:tc>
          <w:tcPr>
            <w:tcW w:w="3385" w:type="pct"/>
            <w:gridSpan w:val="3"/>
            <w:tcBorders>
              <w:top w:val="single" w:sz="8" w:space="0" w:color="002060"/>
              <w:left w:val="single" w:sz="4" w:space="0" w:color="073763"/>
              <w:bottom w:val="single" w:sz="8" w:space="0" w:color="002060"/>
              <w:right w:val="single" w:sz="4" w:space="0" w:color="073763"/>
            </w:tcBorders>
            <w:shd w:val="clear" w:color="auto" w:fill="auto"/>
            <w:vAlign w:val="center"/>
          </w:tcPr>
          <w:p w14:paraId="50BD444C" w14:textId="77777777" w:rsidR="00C835EE" w:rsidRPr="00630DB7" w:rsidRDefault="00C835EE" w:rsidP="00630DB7">
            <w:pPr>
              <w:pStyle w:val="Sinespaciado"/>
              <w:jc w:val="center"/>
              <w:rPr>
                <w:b/>
                <w:color w:val="002060"/>
                <w:lang w:val="es-ES_tradnl" w:eastAsia="ja-JP"/>
              </w:rPr>
            </w:pPr>
            <w:r w:rsidRPr="00630DB7">
              <w:rPr>
                <w:b/>
                <w:color w:val="002060"/>
                <w:lang w:val="es-ES_tradnl" w:eastAsia="ja-JP"/>
              </w:rPr>
              <w:t>Instituto de Investigaciones Sociales –</w:t>
            </w:r>
          </w:p>
          <w:p w14:paraId="07F1ECA8" w14:textId="77777777" w:rsidR="00C835EE" w:rsidRPr="0091266F" w:rsidRDefault="00C835EE" w:rsidP="00630DB7">
            <w:pPr>
              <w:pStyle w:val="Sinespaciado"/>
              <w:jc w:val="center"/>
              <w:rPr>
                <w:lang w:val="es-ES_tradnl" w:eastAsia="ja-JP"/>
              </w:rPr>
            </w:pPr>
            <w:r w:rsidRPr="00630DB7">
              <w:rPr>
                <w:b/>
                <w:color w:val="002060"/>
                <w:lang w:val="es-ES_tradnl" w:eastAsia="ja-JP"/>
              </w:rPr>
              <w:t>Universidad Nacional Autónoma de México</w:t>
            </w:r>
          </w:p>
        </w:tc>
      </w:tr>
      <w:tr w:rsidR="00C835EE" w:rsidRPr="009A34C4" w14:paraId="1B423676" w14:textId="77777777" w:rsidTr="00630DB7">
        <w:trPr>
          <w:trHeight w:val="326"/>
          <w:tblHeader/>
        </w:trPr>
        <w:tc>
          <w:tcPr>
            <w:tcW w:w="1615" w:type="pct"/>
            <w:gridSpan w:val="3"/>
            <w:tcBorders>
              <w:top w:val="single" w:sz="8" w:space="0" w:color="002060"/>
              <w:left w:val="single" w:sz="4" w:space="0" w:color="073763"/>
              <w:bottom w:val="single" w:sz="8" w:space="0" w:color="002060"/>
              <w:right w:val="single" w:sz="4" w:space="0" w:color="073763"/>
            </w:tcBorders>
            <w:shd w:val="clear" w:color="auto" w:fill="0070C0"/>
            <w:vAlign w:val="center"/>
          </w:tcPr>
          <w:p w14:paraId="043F8E2B" w14:textId="77777777" w:rsidR="00C835EE" w:rsidRDefault="00C835EE" w:rsidP="00BD43ED">
            <w:pPr>
              <w:spacing w:before="40"/>
              <w:jc w:val="center"/>
              <w:rPr>
                <w:b/>
                <w:bCs/>
                <w:color w:val="DBF5F9"/>
                <w:sz w:val="20"/>
                <w:szCs w:val="20"/>
                <w:lang w:val="es-ES_tradnl" w:eastAsia="ja-JP"/>
              </w:rPr>
            </w:pPr>
            <w:r>
              <w:rPr>
                <w:b/>
                <w:bCs/>
                <w:color w:val="DBF5F9"/>
                <w:sz w:val="20"/>
                <w:szCs w:val="20"/>
                <w:lang w:val="es-ES_tradnl" w:eastAsia="ja-JP"/>
              </w:rPr>
              <w:t>Coordinador de la Evaluación</w:t>
            </w:r>
          </w:p>
        </w:tc>
        <w:tc>
          <w:tcPr>
            <w:tcW w:w="3385" w:type="pct"/>
            <w:gridSpan w:val="3"/>
            <w:tcBorders>
              <w:top w:val="single" w:sz="8" w:space="0" w:color="002060"/>
              <w:left w:val="single" w:sz="4" w:space="0" w:color="073763"/>
              <w:bottom w:val="single" w:sz="8" w:space="0" w:color="002060"/>
              <w:right w:val="single" w:sz="4" w:space="0" w:color="073763"/>
            </w:tcBorders>
            <w:shd w:val="clear" w:color="auto" w:fill="auto"/>
            <w:vAlign w:val="center"/>
          </w:tcPr>
          <w:p w14:paraId="153DBDDF" w14:textId="77777777" w:rsidR="00C835EE" w:rsidRPr="00630DB7" w:rsidRDefault="00C835EE" w:rsidP="00630DB7">
            <w:pPr>
              <w:pStyle w:val="Sinespaciado"/>
              <w:jc w:val="center"/>
              <w:rPr>
                <w:b/>
                <w:color w:val="002060"/>
                <w:lang w:val="es-ES_tradnl" w:eastAsia="ja-JP"/>
              </w:rPr>
            </w:pPr>
            <w:r w:rsidRPr="00630DB7">
              <w:rPr>
                <w:b/>
                <w:color w:val="002060"/>
                <w:lang w:val="es-ES_tradnl" w:eastAsia="ja-JP"/>
              </w:rPr>
              <w:t>Dr. Manuel Perló Cohen (Líder del Proyecto)</w:t>
            </w:r>
          </w:p>
          <w:p w14:paraId="7CA9DAF7" w14:textId="40739D44" w:rsidR="00C835EE" w:rsidRPr="00C835EE" w:rsidRDefault="007E745F" w:rsidP="00630DB7">
            <w:pPr>
              <w:pStyle w:val="Sinespaciado"/>
              <w:jc w:val="center"/>
              <w:rPr>
                <w:b/>
                <w:bCs/>
                <w:color w:val="002060"/>
                <w:sz w:val="24"/>
                <w:szCs w:val="20"/>
                <w:lang w:val="es-ES_tradnl" w:eastAsia="ja-JP"/>
              </w:rPr>
            </w:pPr>
            <w:r>
              <w:rPr>
                <w:b/>
                <w:color w:val="002060"/>
                <w:lang w:val="es-ES_tradnl" w:eastAsia="ja-JP"/>
              </w:rPr>
              <w:t>Mtro. Carlos López Alaní</w:t>
            </w:r>
            <w:r w:rsidR="00C835EE" w:rsidRPr="00630DB7">
              <w:rPr>
                <w:b/>
                <w:color w:val="002060"/>
                <w:lang w:val="es-ES_tradnl" w:eastAsia="ja-JP"/>
              </w:rPr>
              <w:t>s (Coordinador de la Evaluación)</w:t>
            </w:r>
          </w:p>
        </w:tc>
      </w:tr>
      <w:tr w:rsidR="00C835EE" w:rsidRPr="009A34C4" w14:paraId="343B0678" w14:textId="77777777" w:rsidTr="00630DB7">
        <w:trPr>
          <w:trHeight w:val="326"/>
          <w:tblHeader/>
        </w:trPr>
        <w:tc>
          <w:tcPr>
            <w:tcW w:w="1615" w:type="pct"/>
            <w:gridSpan w:val="3"/>
            <w:tcBorders>
              <w:top w:val="single" w:sz="8" w:space="0" w:color="002060"/>
              <w:left w:val="single" w:sz="4" w:space="0" w:color="073763"/>
              <w:bottom w:val="single" w:sz="8" w:space="0" w:color="002060"/>
              <w:right w:val="single" w:sz="4" w:space="0" w:color="073763"/>
            </w:tcBorders>
            <w:shd w:val="clear" w:color="auto" w:fill="0070C0"/>
            <w:vAlign w:val="center"/>
          </w:tcPr>
          <w:p w14:paraId="563002BD" w14:textId="77777777" w:rsidR="00C835EE" w:rsidRDefault="00C835EE" w:rsidP="00BD43ED">
            <w:pPr>
              <w:spacing w:before="40"/>
              <w:jc w:val="center"/>
              <w:rPr>
                <w:b/>
                <w:bCs/>
                <w:color w:val="DBF5F9"/>
                <w:sz w:val="20"/>
                <w:szCs w:val="20"/>
                <w:lang w:val="es-ES_tradnl" w:eastAsia="ja-JP"/>
              </w:rPr>
            </w:pPr>
            <w:r>
              <w:rPr>
                <w:b/>
                <w:bCs/>
                <w:color w:val="DBF5F9"/>
                <w:sz w:val="20"/>
                <w:szCs w:val="20"/>
                <w:lang w:val="es-ES_tradnl" w:eastAsia="ja-JP"/>
              </w:rPr>
              <w:t>Forma de contratación</w:t>
            </w:r>
          </w:p>
        </w:tc>
        <w:tc>
          <w:tcPr>
            <w:tcW w:w="3385" w:type="pct"/>
            <w:gridSpan w:val="3"/>
            <w:tcBorders>
              <w:top w:val="single" w:sz="8" w:space="0" w:color="002060"/>
              <w:left w:val="single" w:sz="4" w:space="0" w:color="073763"/>
              <w:bottom w:val="single" w:sz="8" w:space="0" w:color="002060"/>
              <w:right w:val="single" w:sz="4" w:space="0" w:color="073763"/>
            </w:tcBorders>
            <w:shd w:val="clear" w:color="auto" w:fill="auto"/>
            <w:vAlign w:val="center"/>
          </w:tcPr>
          <w:p w14:paraId="0AE5FD81" w14:textId="77777777" w:rsidR="00C835EE" w:rsidRPr="00C835EE" w:rsidRDefault="00630DB7" w:rsidP="00630DB7">
            <w:pPr>
              <w:pStyle w:val="Sinespaciado"/>
              <w:jc w:val="center"/>
              <w:rPr>
                <w:b/>
                <w:bCs/>
                <w:color w:val="002060"/>
                <w:sz w:val="24"/>
                <w:szCs w:val="20"/>
                <w:lang w:val="es-ES_tradnl" w:eastAsia="ja-JP"/>
              </w:rPr>
            </w:pPr>
            <w:r w:rsidRPr="00630DB7">
              <w:rPr>
                <w:b/>
                <w:color w:val="002060"/>
                <w:lang w:val="es-ES_tradnl" w:eastAsia="ja-JP"/>
              </w:rPr>
              <w:t>Artículo 1°, quinto párrafo de la Ley de Adquisiciones Arrendamientos y Servicios del Sector Público</w:t>
            </w:r>
          </w:p>
        </w:tc>
      </w:tr>
      <w:tr w:rsidR="00630DB7" w:rsidRPr="009A34C4" w14:paraId="61F0FA2A" w14:textId="77777777" w:rsidTr="00630DB7">
        <w:trPr>
          <w:trHeight w:val="606"/>
        </w:trPr>
        <w:tc>
          <w:tcPr>
            <w:tcW w:w="723" w:type="pct"/>
            <w:tcBorders>
              <w:top w:val="single" w:sz="8" w:space="0" w:color="002060"/>
              <w:left w:val="single" w:sz="4" w:space="0" w:color="073763"/>
              <w:bottom w:val="single" w:sz="8" w:space="0" w:color="002060"/>
              <w:right w:val="single" w:sz="4" w:space="0" w:color="073763"/>
            </w:tcBorders>
            <w:shd w:val="clear" w:color="auto" w:fill="0070C0"/>
            <w:vAlign w:val="center"/>
          </w:tcPr>
          <w:p w14:paraId="577403CE" w14:textId="77777777" w:rsidR="00C835EE" w:rsidRPr="009A34C4" w:rsidRDefault="00630DB7" w:rsidP="00BD43ED">
            <w:pPr>
              <w:spacing w:before="40"/>
              <w:jc w:val="center"/>
              <w:rPr>
                <w:b/>
                <w:bCs/>
                <w:color w:val="DBF5F9"/>
                <w:sz w:val="20"/>
                <w:szCs w:val="20"/>
                <w:lang w:val="es-ES_tradnl" w:eastAsia="ja-JP"/>
              </w:rPr>
            </w:pPr>
            <w:r>
              <w:rPr>
                <w:b/>
                <w:bCs/>
                <w:color w:val="DBF5F9"/>
                <w:sz w:val="20"/>
                <w:szCs w:val="20"/>
                <w:lang w:val="es-ES_tradnl" w:eastAsia="ja-JP"/>
              </w:rPr>
              <w:t>Costo</w:t>
            </w:r>
          </w:p>
        </w:tc>
        <w:tc>
          <w:tcPr>
            <w:tcW w:w="892" w:type="pct"/>
            <w:gridSpan w:val="2"/>
            <w:tcBorders>
              <w:top w:val="single" w:sz="8" w:space="0" w:color="002060"/>
              <w:left w:val="single" w:sz="4" w:space="0" w:color="073763"/>
              <w:bottom w:val="single" w:sz="8" w:space="0" w:color="002060"/>
              <w:right w:val="single" w:sz="4" w:space="0" w:color="073763"/>
            </w:tcBorders>
            <w:shd w:val="clear" w:color="auto" w:fill="auto"/>
            <w:vAlign w:val="center"/>
          </w:tcPr>
          <w:p w14:paraId="18C2EA5A" w14:textId="77777777" w:rsidR="00C835EE" w:rsidRPr="0091266F" w:rsidRDefault="00630DB7" w:rsidP="00630DB7">
            <w:pPr>
              <w:pStyle w:val="Sinespaciado"/>
              <w:jc w:val="center"/>
              <w:rPr>
                <w:b/>
                <w:bCs/>
                <w:color w:val="DBF5F9"/>
                <w:sz w:val="28"/>
                <w:szCs w:val="20"/>
                <w:lang w:val="es-ES_tradnl" w:eastAsia="ja-JP"/>
              </w:rPr>
            </w:pPr>
            <w:r w:rsidRPr="00630DB7">
              <w:rPr>
                <w:b/>
                <w:color w:val="002060"/>
                <w:lang w:val="es-ES_tradnl" w:eastAsia="ja-JP"/>
              </w:rPr>
              <w:t>$ 970,000</w:t>
            </w:r>
          </w:p>
        </w:tc>
        <w:tc>
          <w:tcPr>
            <w:tcW w:w="1033" w:type="pct"/>
            <w:tcBorders>
              <w:top w:val="single" w:sz="8" w:space="0" w:color="002060"/>
              <w:left w:val="single" w:sz="4" w:space="0" w:color="073763"/>
              <w:bottom w:val="single" w:sz="8" w:space="0" w:color="002060"/>
              <w:right w:val="single" w:sz="4" w:space="0" w:color="073763"/>
            </w:tcBorders>
            <w:shd w:val="clear" w:color="auto" w:fill="0070C0"/>
            <w:vAlign w:val="center"/>
          </w:tcPr>
          <w:p w14:paraId="08A5437C" w14:textId="77777777" w:rsidR="00C835EE" w:rsidRPr="00CA1300" w:rsidRDefault="00630DB7" w:rsidP="00BD43ED">
            <w:pPr>
              <w:spacing w:before="40"/>
              <w:jc w:val="center"/>
              <w:rPr>
                <w:b/>
                <w:bCs/>
                <w:color w:val="DBF5F9"/>
                <w:sz w:val="20"/>
                <w:szCs w:val="20"/>
                <w:lang w:val="es-ES_tradnl" w:eastAsia="ja-JP"/>
              </w:rPr>
            </w:pPr>
            <w:r>
              <w:rPr>
                <w:b/>
                <w:bCs/>
                <w:color w:val="DBF5F9"/>
                <w:sz w:val="20"/>
                <w:szCs w:val="20"/>
                <w:lang w:val="es-ES_tradnl" w:eastAsia="ja-JP"/>
              </w:rPr>
              <w:t>Fuente de Financiamiento</w:t>
            </w:r>
          </w:p>
        </w:tc>
        <w:tc>
          <w:tcPr>
            <w:tcW w:w="2352" w:type="pct"/>
            <w:gridSpan w:val="2"/>
            <w:tcBorders>
              <w:top w:val="single" w:sz="8" w:space="0" w:color="002060"/>
              <w:left w:val="single" w:sz="4" w:space="0" w:color="073763"/>
              <w:bottom w:val="single" w:sz="8" w:space="0" w:color="002060"/>
              <w:right w:val="single" w:sz="4" w:space="0" w:color="073763"/>
            </w:tcBorders>
            <w:shd w:val="clear" w:color="auto" w:fill="auto"/>
            <w:vAlign w:val="center"/>
          </w:tcPr>
          <w:p w14:paraId="471A95C8" w14:textId="77777777" w:rsidR="00C835EE" w:rsidRPr="0091266F" w:rsidRDefault="00630DB7" w:rsidP="00BD43ED">
            <w:pPr>
              <w:spacing w:before="40"/>
              <w:jc w:val="center"/>
              <w:rPr>
                <w:b/>
                <w:bCs/>
                <w:color w:val="002060"/>
                <w:sz w:val="20"/>
                <w:szCs w:val="20"/>
                <w:lang w:val="es-ES_tradnl" w:eastAsia="ja-JP"/>
              </w:rPr>
            </w:pPr>
            <w:r>
              <w:rPr>
                <w:b/>
                <w:bCs/>
                <w:color w:val="002060"/>
                <w:sz w:val="20"/>
                <w:szCs w:val="20"/>
                <w:lang w:val="es-ES_tradnl" w:eastAsia="ja-JP"/>
              </w:rPr>
              <w:t>Recursos Propios</w:t>
            </w:r>
          </w:p>
        </w:tc>
      </w:tr>
      <w:tr w:rsidR="00630DB7" w:rsidRPr="009A34C4" w14:paraId="43AABC09" w14:textId="77777777" w:rsidTr="00630DB7">
        <w:trPr>
          <w:trHeight w:val="552"/>
        </w:trPr>
        <w:tc>
          <w:tcPr>
            <w:tcW w:w="1615" w:type="pct"/>
            <w:gridSpan w:val="3"/>
            <w:tcBorders>
              <w:top w:val="single" w:sz="8" w:space="0" w:color="002060"/>
              <w:left w:val="single" w:sz="4" w:space="0" w:color="073763"/>
              <w:bottom w:val="single" w:sz="8" w:space="0" w:color="002060"/>
              <w:right w:val="single" w:sz="4" w:space="0" w:color="073763"/>
            </w:tcBorders>
            <w:shd w:val="clear" w:color="auto" w:fill="0070C0"/>
            <w:vAlign w:val="center"/>
          </w:tcPr>
          <w:p w14:paraId="74B9F54C" w14:textId="77777777" w:rsidR="00630DB7" w:rsidRPr="0091266F" w:rsidRDefault="00630DB7" w:rsidP="00BD43ED">
            <w:pPr>
              <w:spacing w:before="40"/>
              <w:jc w:val="center"/>
              <w:rPr>
                <w:b/>
                <w:bCs/>
                <w:color w:val="002060"/>
                <w:sz w:val="28"/>
                <w:szCs w:val="20"/>
                <w:lang w:val="es-ES_tradnl" w:eastAsia="ja-JP"/>
              </w:rPr>
            </w:pPr>
            <w:r>
              <w:rPr>
                <w:b/>
                <w:bCs/>
                <w:color w:val="DBF5F9"/>
                <w:sz w:val="20"/>
                <w:szCs w:val="20"/>
                <w:lang w:val="es-ES_tradnl" w:eastAsia="ja-JP"/>
              </w:rPr>
              <w:t>Instancia de Coordinación</w:t>
            </w:r>
          </w:p>
        </w:tc>
        <w:tc>
          <w:tcPr>
            <w:tcW w:w="1033" w:type="pct"/>
            <w:tcBorders>
              <w:top w:val="single" w:sz="8" w:space="0" w:color="002060"/>
              <w:left w:val="single" w:sz="4" w:space="0" w:color="073763"/>
              <w:bottom w:val="single" w:sz="8" w:space="0" w:color="002060"/>
              <w:right w:val="single" w:sz="4" w:space="0" w:color="073763"/>
            </w:tcBorders>
            <w:shd w:val="clear" w:color="auto" w:fill="auto"/>
            <w:vAlign w:val="center"/>
          </w:tcPr>
          <w:p w14:paraId="1D044EDC" w14:textId="77777777" w:rsidR="00630DB7" w:rsidRPr="0091266F" w:rsidRDefault="00630DB7" w:rsidP="00BD43ED">
            <w:pPr>
              <w:spacing w:before="40"/>
              <w:jc w:val="center"/>
              <w:rPr>
                <w:b/>
                <w:bCs/>
                <w:color w:val="002060"/>
                <w:sz w:val="20"/>
                <w:szCs w:val="20"/>
                <w:lang w:val="es-ES_tradnl" w:eastAsia="ja-JP"/>
              </w:rPr>
            </w:pPr>
            <w:r>
              <w:rPr>
                <w:b/>
                <w:bCs/>
                <w:color w:val="002060"/>
                <w:sz w:val="20"/>
                <w:szCs w:val="20"/>
                <w:lang w:val="es-ES_tradnl" w:eastAsia="ja-JP"/>
              </w:rPr>
              <w:t>SHCP</w:t>
            </w:r>
          </w:p>
        </w:tc>
        <w:tc>
          <w:tcPr>
            <w:tcW w:w="1037" w:type="pct"/>
            <w:tcBorders>
              <w:top w:val="single" w:sz="8" w:space="0" w:color="002060"/>
              <w:left w:val="single" w:sz="4" w:space="0" w:color="073763"/>
              <w:bottom w:val="single" w:sz="8" w:space="0" w:color="002060"/>
              <w:right w:val="single" w:sz="4" w:space="0" w:color="073763"/>
            </w:tcBorders>
            <w:shd w:val="clear" w:color="auto" w:fill="0070C0"/>
            <w:vAlign w:val="center"/>
          </w:tcPr>
          <w:p w14:paraId="49521747" w14:textId="77777777" w:rsidR="00630DB7" w:rsidRPr="00630DB7" w:rsidRDefault="00630DB7" w:rsidP="00BD43ED">
            <w:pPr>
              <w:spacing w:before="40"/>
              <w:jc w:val="center"/>
              <w:rPr>
                <w:b/>
                <w:bCs/>
                <w:color w:val="FFFFFF" w:themeColor="background1"/>
                <w:sz w:val="20"/>
                <w:szCs w:val="20"/>
                <w:lang w:val="es-ES_tradnl" w:eastAsia="ja-JP"/>
              </w:rPr>
            </w:pPr>
            <w:r w:rsidRPr="00630DB7">
              <w:rPr>
                <w:b/>
                <w:bCs/>
                <w:color w:val="FFFFFF" w:themeColor="background1"/>
                <w:sz w:val="20"/>
                <w:szCs w:val="20"/>
                <w:lang w:val="es-ES_tradnl" w:eastAsia="ja-JP"/>
              </w:rPr>
              <w:t xml:space="preserve">Informe Completo disponible en </w:t>
            </w:r>
          </w:p>
        </w:tc>
        <w:tc>
          <w:tcPr>
            <w:tcW w:w="1315" w:type="pct"/>
            <w:tcBorders>
              <w:top w:val="single" w:sz="8" w:space="0" w:color="002060"/>
              <w:left w:val="single" w:sz="4" w:space="0" w:color="073763"/>
              <w:bottom w:val="single" w:sz="8" w:space="0" w:color="002060"/>
              <w:right w:val="single" w:sz="4" w:space="0" w:color="073763"/>
            </w:tcBorders>
            <w:shd w:val="clear" w:color="auto" w:fill="auto"/>
            <w:vAlign w:val="center"/>
          </w:tcPr>
          <w:p w14:paraId="6D53D1F6" w14:textId="77777777" w:rsidR="00630DB7" w:rsidRPr="0091266F" w:rsidRDefault="00630DB7" w:rsidP="00BD43ED">
            <w:pPr>
              <w:spacing w:before="40"/>
              <w:jc w:val="center"/>
              <w:rPr>
                <w:b/>
                <w:bCs/>
                <w:color w:val="002060"/>
                <w:sz w:val="20"/>
                <w:szCs w:val="20"/>
                <w:lang w:val="es-ES_tradnl" w:eastAsia="ja-JP"/>
              </w:rPr>
            </w:pPr>
          </w:p>
        </w:tc>
      </w:tr>
      <w:tr w:rsidR="00C835EE" w:rsidRPr="009A34C4" w14:paraId="79F64CCD" w14:textId="77777777" w:rsidTr="00630DB7">
        <w:trPr>
          <w:trHeight w:val="532"/>
        </w:trPr>
        <w:tc>
          <w:tcPr>
            <w:tcW w:w="1611" w:type="pct"/>
            <w:gridSpan w:val="2"/>
            <w:tcBorders>
              <w:top w:val="single" w:sz="8" w:space="0" w:color="002060"/>
              <w:left w:val="single" w:sz="4" w:space="0" w:color="073763"/>
              <w:bottom w:val="single" w:sz="8" w:space="0" w:color="002060"/>
              <w:right w:val="single" w:sz="4" w:space="0" w:color="073763"/>
            </w:tcBorders>
            <w:shd w:val="clear" w:color="auto" w:fill="0070C0"/>
            <w:vAlign w:val="center"/>
          </w:tcPr>
          <w:p w14:paraId="07FC6DE1" w14:textId="77777777" w:rsidR="00C835EE" w:rsidRDefault="00630DB7" w:rsidP="00BD43ED">
            <w:pPr>
              <w:spacing w:before="40"/>
              <w:jc w:val="center"/>
              <w:rPr>
                <w:b/>
                <w:bCs/>
                <w:color w:val="002060"/>
                <w:sz w:val="20"/>
                <w:szCs w:val="20"/>
                <w:lang w:val="es-ES_tradnl" w:eastAsia="ja-JP"/>
              </w:rPr>
            </w:pPr>
            <w:r>
              <w:rPr>
                <w:b/>
                <w:bCs/>
                <w:color w:val="DBF5F9"/>
                <w:sz w:val="20"/>
                <w:szCs w:val="20"/>
                <w:lang w:val="es-ES_tradnl" w:eastAsia="ja-JP"/>
              </w:rPr>
              <w:t>Principal Equipo Colaborador</w:t>
            </w:r>
          </w:p>
        </w:tc>
        <w:tc>
          <w:tcPr>
            <w:tcW w:w="3389" w:type="pct"/>
            <w:gridSpan w:val="4"/>
            <w:tcBorders>
              <w:top w:val="single" w:sz="8" w:space="0" w:color="002060"/>
              <w:left w:val="single" w:sz="4" w:space="0" w:color="073763"/>
              <w:bottom w:val="single" w:sz="8" w:space="0" w:color="002060"/>
              <w:right w:val="single" w:sz="4" w:space="0" w:color="073763"/>
            </w:tcBorders>
            <w:shd w:val="clear" w:color="auto" w:fill="auto"/>
            <w:vAlign w:val="center"/>
          </w:tcPr>
          <w:p w14:paraId="7A100496"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Paula Carlota Villavicencio Navarro</w:t>
            </w:r>
          </w:p>
          <w:p w14:paraId="538CE301"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Ulises Alcántara Pérez</w:t>
            </w:r>
          </w:p>
          <w:p w14:paraId="5EED8896"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Amparo Rocío Vásquez Valdez</w:t>
            </w:r>
          </w:p>
          <w:p w14:paraId="599DB98F"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C. Verónica Azucena Del Valle Urbina</w:t>
            </w:r>
          </w:p>
          <w:p w14:paraId="12E47F57"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Joana Teniente Cruz</w:t>
            </w:r>
          </w:p>
          <w:p w14:paraId="62F5DEA8"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Natalia Cortez González</w:t>
            </w:r>
          </w:p>
          <w:p w14:paraId="0D6BB9C3"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José Carlos Mejía Suarez</w:t>
            </w:r>
          </w:p>
          <w:p w14:paraId="78C22270"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Guadalupe Torres Manzano</w:t>
            </w:r>
          </w:p>
          <w:p w14:paraId="4AB01028"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Jennifer Hernández Ramírez</w:t>
            </w:r>
          </w:p>
          <w:p w14:paraId="5F68B6E8"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María de Lourdes Gutiérrez Cisneros</w:t>
            </w:r>
          </w:p>
          <w:p w14:paraId="4F3DBD18" w14:textId="77777777" w:rsidR="00630DB7" w:rsidRPr="00BC464C" w:rsidRDefault="00630DB7" w:rsidP="00630DB7">
            <w:pPr>
              <w:pStyle w:val="Sinespaciado"/>
              <w:numPr>
                <w:ilvl w:val="0"/>
                <w:numId w:val="18"/>
              </w:numPr>
              <w:ind w:left="459" w:hanging="284"/>
              <w:rPr>
                <w:b/>
                <w:color w:val="244061" w:themeColor="accent1" w:themeShade="80"/>
                <w:sz w:val="20"/>
                <w:lang w:val="en-US"/>
              </w:rPr>
            </w:pPr>
            <w:r w:rsidRPr="00BC464C">
              <w:rPr>
                <w:b/>
                <w:color w:val="244061" w:themeColor="accent1" w:themeShade="80"/>
                <w:sz w:val="20"/>
                <w:lang w:val="en-US"/>
              </w:rPr>
              <w:t>Lic. Néstor Reyes Seelbach</w:t>
            </w:r>
          </w:p>
          <w:p w14:paraId="0E8C2141" w14:textId="77777777" w:rsidR="00630DB7" w:rsidRPr="00BC464C" w:rsidRDefault="00630DB7" w:rsidP="00630DB7">
            <w:pPr>
              <w:pStyle w:val="Sinespaciado"/>
              <w:numPr>
                <w:ilvl w:val="0"/>
                <w:numId w:val="18"/>
              </w:numPr>
              <w:ind w:left="459" w:hanging="284"/>
              <w:rPr>
                <w:b/>
                <w:color w:val="244061" w:themeColor="accent1" w:themeShade="80"/>
                <w:sz w:val="20"/>
                <w:lang w:val="en-US"/>
              </w:rPr>
            </w:pPr>
            <w:r w:rsidRPr="00BC464C">
              <w:rPr>
                <w:b/>
                <w:color w:val="244061" w:themeColor="accent1" w:themeShade="80"/>
                <w:sz w:val="20"/>
                <w:lang w:val="en-US"/>
              </w:rPr>
              <w:t>Lic. Leonel López Alanís</w:t>
            </w:r>
          </w:p>
          <w:p w14:paraId="30E484CB" w14:textId="77777777" w:rsidR="00630DB7" w:rsidRPr="00BC464C" w:rsidRDefault="00630DB7" w:rsidP="00630DB7">
            <w:pPr>
              <w:pStyle w:val="Sinespaciado"/>
              <w:numPr>
                <w:ilvl w:val="0"/>
                <w:numId w:val="18"/>
              </w:numPr>
              <w:ind w:left="459" w:hanging="284"/>
              <w:rPr>
                <w:b/>
                <w:color w:val="244061" w:themeColor="accent1" w:themeShade="80"/>
                <w:sz w:val="20"/>
              </w:rPr>
            </w:pPr>
            <w:r w:rsidRPr="00BC464C">
              <w:rPr>
                <w:b/>
                <w:color w:val="244061" w:themeColor="accent1" w:themeShade="80"/>
                <w:sz w:val="20"/>
              </w:rPr>
              <w:t>Lic. Susana Cruz</w:t>
            </w:r>
          </w:p>
          <w:p w14:paraId="49C732D7" w14:textId="77777777" w:rsidR="00C835EE" w:rsidRPr="00630DB7" w:rsidRDefault="00630DB7" w:rsidP="00630DB7">
            <w:pPr>
              <w:pStyle w:val="Sinespaciado"/>
              <w:numPr>
                <w:ilvl w:val="0"/>
                <w:numId w:val="18"/>
              </w:numPr>
              <w:ind w:left="459" w:hanging="284"/>
              <w:rPr>
                <w:rFonts w:asciiTheme="majorHAnsi" w:hAnsiTheme="majorHAnsi"/>
                <w:color w:val="244061" w:themeColor="accent1" w:themeShade="80"/>
                <w:sz w:val="20"/>
              </w:rPr>
            </w:pPr>
            <w:r w:rsidRPr="00BC464C">
              <w:rPr>
                <w:b/>
                <w:color w:val="244061" w:themeColor="accent1" w:themeShade="80"/>
                <w:sz w:val="20"/>
              </w:rPr>
              <w:t>Lic. Silvia Martín</w:t>
            </w:r>
          </w:p>
        </w:tc>
      </w:tr>
    </w:tbl>
    <w:p w14:paraId="78ED477C" w14:textId="77777777" w:rsidR="00C835EE" w:rsidRPr="0047439C" w:rsidRDefault="00C835EE" w:rsidP="0047439C">
      <w:pPr>
        <w:jc w:val="both"/>
        <w:rPr>
          <w:szCs w:val="21"/>
        </w:rPr>
      </w:pPr>
    </w:p>
    <w:sectPr w:rsidR="00C835EE" w:rsidRPr="0047439C" w:rsidSect="0091266F">
      <w:headerReference w:type="default" r:id="rId8"/>
      <w:footerReference w:type="even" r:id="rId9"/>
      <w:footerReference w:type="default" r:id="rId10"/>
      <w:footerReference w:type="first" r:id="rId11"/>
      <w:type w:val="continuous"/>
      <w:pgSz w:w="12240" w:h="15840" w:code="1"/>
      <w:pgMar w:top="1985"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F751" w14:textId="77777777" w:rsidR="00FE7897" w:rsidRDefault="00FE7897" w:rsidP="00C32030">
      <w:pPr>
        <w:spacing w:after="0" w:line="240" w:lineRule="auto"/>
      </w:pPr>
      <w:r>
        <w:separator/>
      </w:r>
    </w:p>
  </w:endnote>
  <w:endnote w:type="continuationSeparator" w:id="0">
    <w:p w14:paraId="6B6421E0" w14:textId="77777777" w:rsidR="00FE7897" w:rsidRDefault="00FE7897" w:rsidP="00C3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8B67" w14:textId="77777777" w:rsidR="000C4A3D" w:rsidRDefault="000C4A3D" w:rsidP="00CC1D3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61C75C" w14:textId="77777777" w:rsidR="000C4A3D" w:rsidRDefault="000C4A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8C01" w14:textId="77777777" w:rsidR="000C4A3D" w:rsidRPr="0001167B" w:rsidRDefault="00A54870" w:rsidP="00780911">
    <w:pPr>
      <w:pStyle w:val="Piedepgina"/>
      <w:jc w:val="center"/>
      <w:rPr>
        <w:color w:val="387026"/>
      </w:rPr>
    </w:pPr>
    <w:r>
      <w:rPr>
        <w:noProof/>
        <w:color w:val="387026"/>
        <w:lang w:eastAsia="es-MX"/>
      </w:rPr>
      <mc:AlternateContent>
        <mc:Choice Requires="wps">
          <w:drawing>
            <wp:inline distT="0" distB="0" distL="0" distR="0" wp14:anchorId="7929F333" wp14:editId="5963D673">
              <wp:extent cx="5835650" cy="98425"/>
              <wp:effectExtent l="0" t="0" r="3175" b="6350"/>
              <wp:docPr id="2" name="Decisión 1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35650" cy="98425"/>
                      </a:xfrm>
                      <a:prstGeom prst="flowChartDecision">
                        <a:avLst/>
                      </a:prstGeom>
                      <a:gradFill rotWithShape="0">
                        <a:gsLst>
                          <a:gs pos="0">
                            <a:srgbClr val="0070C0"/>
                          </a:gs>
                          <a:gs pos="39999">
                            <a:srgbClr val="85C2FF"/>
                          </a:gs>
                          <a:gs pos="70000">
                            <a:srgbClr val="C4D6EB"/>
                          </a:gs>
                          <a:gs pos="100000">
                            <a:srgbClr val="FFEBFA"/>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C6EE287" id="_x0000_t110" coordsize="21600,21600" o:spt="110" path="m10800,l,10800,10800,21600,21600,10800xe">
              <v:stroke joinstyle="miter"/>
              <v:path gradientshapeok="t" o:connecttype="rect" textboxrect="5400,5400,16200,16200"/>
            </v:shapetype>
            <v:shape id="Decisión 14" o:spid="_x0000_s1026" type="#_x0000_t110" alt="Light horizontal" style="width:459.5pt;height:7.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" fillcolor="#0070c0" stroked="f">
              <v:fill color2="#ffebfa" colors="0 #0070c0;26214f #85c2ff;45875f #c4d6eb;1 #ffebfa" focus="100%" type="gradient">
                <o:fill v:ext="view" type="gradientUnscaled"/>
              </v:fill>
              <w10:anchorlock/>
            </v:shape>
          </w:pict>
        </mc:Fallback>
      </mc:AlternateContent>
    </w:r>
  </w:p>
  <w:p w14:paraId="3A5BF275" w14:textId="77777777" w:rsidR="000C4A3D" w:rsidRDefault="000C4A3D" w:rsidP="00780911">
    <w:pPr>
      <w:pStyle w:val="Piedepgina"/>
      <w:jc w:val="center"/>
      <w:rPr>
        <w:color w:val="387026"/>
      </w:rPr>
    </w:pPr>
  </w:p>
  <w:p w14:paraId="74714226" w14:textId="1C1629D6" w:rsidR="000C4A3D" w:rsidRPr="00D6428C" w:rsidRDefault="000C4A3D" w:rsidP="00EA1111">
    <w:pPr>
      <w:pStyle w:val="Piedepgina"/>
      <w:jc w:val="center"/>
      <w:rPr>
        <w:b/>
        <w:color w:val="54A738"/>
      </w:rPr>
    </w:pPr>
    <w:r w:rsidRPr="00D6428C">
      <w:rPr>
        <w:rStyle w:val="Nmerodepgina"/>
        <w:b/>
        <w:color w:val="54A738"/>
      </w:rPr>
      <w:fldChar w:fldCharType="begin"/>
    </w:r>
    <w:r w:rsidRPr="00D6428C">
      <w:rPr>
        <w:rStyle w:val="Nmerodepgina"/>
        <w:b/>
        <w:color w:val="54A738"/>
      </w:rPr>
      <w:instrText xml:space="preserve"> PAGE </w:instrText>
    </w:r>
    <w:r w:rsidRPr="00D6428C">
      <w:rPr>
        <w:rStyle w:val="Nmerodepgina"/>
        <w:b/>
        <w:color w:val="54A738"/>
      </w:rPr>
      <w:fldChar w:fldCharType="separate"/>
    </w:r>
    <w:r w:rsidR="00CA0C7B">
      <w:rPr>
        <w:rStyle w:val="Nmerodepgina"/>
        <w:b/>
        <w:noProof/>
        <w:color w:val="54A738"/>
      </w:rPr>
      <w:t>1</w:t>
    </w:r>
    <w:r w:rsidRPr="00D6428C">
      <w:rPr>
        <w:rStyle w:val="Nmerodepgina"/>
        <w:b/>
        <w:color w:val="54A738"/>
      </w:rPr>
      <w:fldChar w:fldCharType="end"/>
    </w:r>
  </w:p>
  <w:p w14:paraId="3803AF3B" w14:textId="77777777" w:rsidR="000C4A3D" w:rsidRDefault="000C4A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9D7B" w14:textId="77777777" w:rsidR="000C4A3D" w:rsidRDefault="000C4A3D" w:rsidP="00EA11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14A57425" w14:textId="77777777" w:rsidR="000C4A3D" w:rsidRDefault="000C4A3D" w:rsidP="00EA11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96E2" w14:textId="77777777" w:rsidR="00FE7897" w:rsidRDefault="00FE7897" w:rsidP="00C32030">
      <w:pPr>
        <w:spacing w:after="0" w:line="240" w:lineRule="auto"/>
      </w:pPr>
      <w:r>
        <w:separator/>
      </w:r>
    </w:p>
  </w:footnote>
  <w:footnote w:type="continuationSeparator" w:id="0">
    <w:p w14:paraId="67761535" w14:textId="77777777" w:rsidR="00FE7897" w:rsidRDefault="00FE7897" w:rsidP="00C32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2060"/>
        <w:left w:val="single" w:sz="4" w:space="0" w:color="002060"/>
        <w:bottom w:val="single" w:sz="4" w:space="0" w:color="002060"/>
        <w:right w:val="single" w:sz="4" w:space="0" w:color="002060"/>
      </w:tblBorders>
      <w:tblLook w:val="00A0" w:firstRow="1" w:lastRow="0" w:firstColumn="1" w:lastColumn="0" w:noHBand="0" w:noVBand="0"/>
    </w:tblPr>
    <w:tblGrid>
      <w:gridCol w:w="5159"/>
      <w:gridCol w:w="4184"/>
    </w:tblGrid>
    <w:tr w:rsidR="000C4A3D" w:rsidRPr="009A34C4" w14:paraId="02CB5500" w14:textId="77777777" w:rsidTr="009A34C4">
      <w:trPr>
        <w:trHeight w:val="270"/>
      </w:trPr>
      <w:tc>
        <w:tcPr>
          <w:tcW w:w="5309" w:type="dxa"/>
          <w:tcBorders>
            <w:top w:val="single" w:sz="4" w:space="0" w:color="FFFFFF"/>
            <w:left w:val="single" w:sz="4" w:space="0" w:color="FFFFFF"/>
          </w:tcBorders>
          <w:vAlign w:val="center"/>
        </w:tcPr>
        <w:p w14:paraId="0AC66433" w14:textId="77777777" w:rsidR="000C4A3D" w:rsidRPr="009A34C4" w:rsidRDefault="000C4A3D" w:rsidP="000821C6">
          <w:pPr>
            <w:pStyle w:val="Piedepgina"/>
            <w:rPr>
              <w:smallCaps/>
              <w:color w:val="002060"/>
              <w:sz w:val="18"/>
              <w:szCs w:val="14"/>
            </w:rPr>
          </w:pPr>
          <w:r w:rsidRPr="009A34C4">
            <w:rPr>
              <w:smallCaps/>
              <w:color w:val="002060"/>
              <w:sz w:val="18"/>
              <w:szCs w:val="14"/>
            </w:rPr>
            <w:t>Universidad Nacional Autónoma de México</w:t>
          </w:r>
        </w:p>
      </w:tc>
      <w:tc>
        <w:tcPr>
          <w:tcW w:w="4263" w:type="dxa"/>
          <w:vMerge w:val="restart"/>
          <w:tcBorders>
            <w:top w:val="single" w:sz="4" w:space="0" w:color="FFFFFF"/>
            <w:right w:val="outset" w:sz="6" w:space="0" w:color="0B5294"/>
          </w:tcBorders>
        </w:tcPr>
        <w:p w14:paraId="77FEBDFC" w14:textId="77777777" w:rsidR="000C4A3D" w:rsidRPr="009A34C4" w:rsidRDefault="00A54870" w:rsidP="009A34C4">
          <w:pPr>
            <w:pStyle w:val="Piedepgina"/>
            <w:jc w:val="right"/>
            <w:rPr>
              <w:noProof/>
              <w:lang w:eastAsia="es-MX"/>
            </w:rPr>
          </w:pPr>
          <w:r>
            <w:rPr>
              <w:noProof/>
              <w:lang w:eastAsia="es-MX"/>
            </w:rPr>
            <w:drawing>
              <wp:inline distT="0" distB="0" distL="0" distR="0" wp14:anchorId="755915CA" wp14:editId="75A5EAB4">
                <wp:extent cx="1256030" cy="683895"/>
                <wp:effectExtent l="0" t="0" r="1270" b="19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83895"/>
                        </a:xfrm>
                        <a:prstGeom prst="rect">
                          <a:avLst/>
                        </a:prstGeom>
                        <a:noFill/>
                        <a:ln>
                          <a:noFill/>
                        </a:ln>
                      </pic:spPr>
                    </pic:pic>
                  </a:graphicData>
                </a:graphic>
              </wp:inline>
            </w:drawing>
          </w:r>
        </w:p>
      </w:tc>
    </w:tr>
    <w:tr w:rsidR="000C4A3D" w:rsidRPr="009A34C4" w14:paraId="3A69F5DC" w14:textId="77777777" w:rsidTr="009A34C4">
      <w:trPr>
        <w:trHeight w:val="274"/>
      </w:trPr>
      <w:tc>
        <w:tcPr>
          <w:tcW w:w="5309" w:type="dxa"/>
          <w:tcBorders>
            <w:left w:val="single" w:sz="4" w:space="0" w:color="FFFFFF"/>
          </w:tcBorders>
          <w:vAlign w:val="center"/>
        </w:tcPr>
        <w:p w14:paraId="4D889C91" w14:textId="77777777" w:rsidR="000C4A3D" w:rsidRPr="009A34C4" w:rsidRDefault="000C4A3D" w:rsidP="00B661CF">
          <w:pPr>
            <w:pStyle w:val="Piedepgina"/>
            <w:rPr>
              <w:smallCaps/>
              <w:color w:val="002060"/>
              <w:sz w:val="18"/>
              <w:szCs w:val="14"/>
            </w:rPr>
          </w:pPr>
          <w:r w:rsidRPr="009A34C4">
            <w:rPr>
              <w:smallCaps/>
              <w:color w:val="002060"/>
              <w:sz w:val="18"/>
              <w:szCs w:val="14"/>
            </w:rPr>
            <w:t>Instituto de Investigaciones Sociales</w:t>
          </w:r>
        </w:p>
      </w:tc>
      <w:tc>
        <w:tcPr>
          <w:tcW w:w="4263" w:type="dxa"/>
          <w:vMerge/>
          <w:tcBorders>
            <w:right w:val="outset" w:sz="6" w:space="0" w:color="0B5294"/>
          </w:tcBorders>
        </w:tcPr>
        <w:p w14:paraId="0CEB5008" w14:textId="77777777" w:rsidR="000C4A3D" w:rsidRPr="009A34C4" w:rsidRDefault="000C4A3D" w:rsidP="00EA1111">
          <w:pPr>
            <w:pStyle w:val="Piedepgina"/>
            <w:rPr>
              <w:sz w:val="16"/>
              <w:szCs w:val="14"/>
            </w:rPr>
          </w:pPr>
        </w:p>
      </w:tc>
    </w:tr>
    <w:tr w:rsidR="000C4A3D" w:rsidRPr="009A34C4" w14:paraId="566B6A18" w14:textId="77777777" w:rsidTr="009A34C4">
      <w:trPr>
        <w:trHeight w:val="318"/>
      </w:trPr>
      <w:tc>
        <w:tcPr>
          <w:tcW w:w="5309" w:type="dxa"/>
          <w:tcBorders>
            <w:left w:val="single" w:sz="4" w:space="0" w:color="FFFFFF"/>
          </w:tcBorders>
          <w:vAlign w:val="center"/>
        </w:tcPr>
        <w:p w14:paraId="0E09C02F" w14:textId="77777777" w:rsidR="000C4A3D" w:rsidRPr="009A34C4" w:rsidRDefault="000C4A3D" w:rsidP="00B661CF">
          <w:pPr>
            <w:pStyle w:val="Piedepgina"/>
            <w:rPr>
              <w:smallCaps/>
              <w:color w:val="002060"/>
              <w:sz w:val="18"/>
              <w:szCs w:val="14"/>
            </w:rPr>
          </w:pPr>
          <w:r w:rsidRPr="009A34C4">
            <w:rPr>
              <w:smallCaps/>
              <w:color w:val="002060"/>
              <w:sz w:val="18"/>
              <w:szCs w:val="14"/>
            </w:rPr>
            <w:t>Secretaría de Comunicaciones y Transportes</w:t>
          </w:r>
        </w:p>
      </w:tc>
      <w:tc>
        <w:tcPr>
          <w:tcW w:w="4263" w:type="dxa"/>
          <w:vMerge/>
          <w:tcBorders>
            <w:right w:val="outset" w:sz="6" w:space="0" w:color="0B5294"/>
          </w:tcBorders>
        </w:tcPr>
        <w:p w14:paraId="271E7496" w14:textId="77777777" w:rsidR="000C4A3D" w:rsidRPr="009A34C4" w:rsidRDefault="000C4A3D" w:rsidP="00EA1111">
          <w:pPr>
            <w:pStyle w:val="Piedepgina"/>
            <w:rPr>
              <w:sz w:val="16"/>
              <w:szCs w:val="14"/>
            </w:rPr>
          </w:pPr>
        </w:p>
      </w:tc>
    </w:tr>
    <w:tr w:rsidR="000C4A3D" w:rsidRPr="009A34C4" w14:paraId="33B476D0" w14:textId="77777777" w:rsidTr="009A34C4">
      <w:trPr>
        <w:trHeight w:val="225"/>
      </w:trPr>
      <w:tc>
        <w:tcPr>
          <w:tcW w:w="5309" w:type="dxa"/>
          <w:tcBorders>
            <w:left w:val="single" w:sz="4" w:space="0" w:color="FFFFFF"/>
            <w:bottom w:val="outset" w:sz="6" w:space="0" w:color="0B5294"/>
          </w:tcBorders>
          <w:vAlign w:val="center"/>
        </w:tcPr>
        <w:p w14:paraId="71D1FF1F" w14:textId="77777777" w:rsidR="000C4A3D" w:rsidRPr="009A34C4" w:rsidRDefault="000C4A3D" w:rsidP="006E342C">
          <w:pPr>
            <w:pStyle w:val="Piedepgina"/>
            <w:rPr>
              <w:smallCaps/>
              <w:color w:val="002060"/>
              <w:sz w:val="18"/>
            </w:rPr>
          </w:pPr>
          <w:r w:rsidRPr="009A34C4">
            <w:rPr>
              <w:smallCaps/>
              <w:color w:val="002060"/>
              <w:sz w:val="18"/>
            </w:rPr>
            <w:t>Ferrocarril del Istmo de Tehuantepec, S. A de C.V.</w:t>
          </w:r>
          <w:r w:rsidRPr="009A34C4">
            <w:rPr>
              <w:smallCaps/>
              <w:noProof/>
              <w:color w:val="002060"/>
              <w:sz w:val="18"/>
              <w:szCs w:val="14"/>
              <w:lang w:eastAsia="es-MX"/>
            </w:rPr>
            <w:t xml:space="preserve"> </w:t>
          </w:r>
        </w:p>
      </w:tc>
      <w:tc>
        <w:tcPr>
          <w:tcW w:w="4263" w:type="dxa"/>
          <w:vMerge/>
          <w:tcBorders>
            <w:bottom w:val="outset" w:sz="6" w:space="0" w:color="0B5294"/>
            <w:right w:val="outset" w:sz="6" w:space="0" w:color="0B5294"/>
          </w:tcBorders>
        </w:tcPr>
        <w:p w14:paraId="20353163" w14:textId="77777777" w:rsidR="000C4A3D" w:rsidRPr="009A34C4" w:rsidRDefault="000C4A3D" w:rsidP="009A34C4">
          <w:pPr>
            <w:pStyle w:val="Piedepgina"/>
            <w:jc w:val="right"/>
            <w:rPr>
              <w:sz w:val="16"/>
              <w:szCs w:val="14"/>
            </w:rPr>
          </w:pPr>
        </w:p>
      </w:tc>
    </w:tr>
  </w:tbl>
  <w:p w14:paraId="2D3EC6DB" w14:textId="77777777" w:rsidR="000C4A3D" w:rsidRPr="00B661CF" w:rsidRDefault="000C4A3D" w:rsidP="00E8091F">
    <w:pPr>
      <w:pStyle w:val="Encabezado"/>
      <w:tabs>
        <w:tab w:val="clear" w:pos="4419"/>
        <w:tab w:val="clear" w:pos="8838"/>
        <w:tab w:val="left" w:pos="5927"/>
      </w:tabs>
      <w:jc w:val="both"/>
      <w:rPr>
        <w:sz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9BD"/>
    <w:multiLevelType w:val="hybridMultilevel"/>
    <w:tmpl w:val="7B8E6F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DA0BDA"/>
    <w:multiLevelType w:val="hybridMultilevel"/>
    <w:tmpl w:val="1A5CB988"/>
    <w:lvl w:ilvl="0" w:tplc="E8A0EFAC">
      <w:start w:val="1"/>
      <w:numFmt w:val="decimal"/>
      <w:lvlText w:val="%1."/>
      <w:lvlJc w:val="left"/>
      <w:pPr>
        <w:ind w:left="735" w:hanging="375"/>
      </w:pPr>
      <w:rPr>
        <w:rFonts w:cs="Times New Roman" w:hint="default"/>
        <w:b/>
        <w:color w:val="0070C0"/>
        <w:sz w:val="48"/>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6E33F1E"/>
    <w:multiLevelType w:val="hybridMultilevel"/>
    <w:tmpl w:val="3DBE3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F7FB0"/>
    <w:multiLevelType w:val="hybridMultilevel"/>
    <w:tmpl w:val="BA26E236"/>
    <w:lvl w:ilvl="0" w:tplc="8020D8E2">
      <w:start w:val="1"/>
      <w:numFmt w:val="bullet"/>
      <w:lvlText w:val=""/>
      <w:lvlJc w:val="left"/>
      <w:pPr>
        <w:ind w:left="720" w:hanging="360"/>
      </w:pPr>
      <w:rPr>
        <w:rFonts w:ascii="Symbol" w:hAnsi="Symbol" w:hint="default"/>
        <w:color w:val="244061" w:themeColor="accent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D4983"/>
    <w:multiLevelType w:val="hybridMultilevel"/>
    <w:tmpl w:val="B2E69A7E"/>
    <w:lvl w:ilvl="0" w:tplc="8020D8E2">
      <w:start w:val="1"/>
      <w:numFmt w:val="bullet"/>
      <w:lvlText w:val=""/>
      <w:lvlJc w:val="left"/>
      <w:pPr>
        <w:ind w:left="720" w:hanging="360"/>
      </w:pPr>
      <w:rPr>
        <w:rFonts w:ascii="Symbol" w:hAnsi="Symbol" w:hint="default"/>
        <w:color w:val="244061" w:themeColor="accent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080C17"/>
    <w:multiLevelType w:val="hybridMultilevel"/>
    <w:tmpl w:val="0AEC5648"/>
    <w:lvl w:ilvl="0" w:tplc="8020D8E2">
      <w:start w:val="1"/>
      <w:numFmt w:val="bullet"/>
      <w:lvlText w:val=""/>
      <w:lvlJc w:val="left"/>
      <w:pPr>
        <w:ind w:left="720" w:hanging="360"/>
      </w:pPr>
      <w:rPr>
        <w:rFonts w:ascii="Symbol" w:hAnsi="Symbol" w:hint="default"/>
        <w:color w:val="244061" w:themeColor="accent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4E5619"/>
    <w:multiLevelType w:val="hybridMultilevel"/>
    <w:tmpl w:val="CF187246"/>
    <w:lvl w:ilvl="0" w:tplc="70CCCE52">
      <w:start w:val="1"/>
      <w:numFmt w:val="decimal"/>
      <w:lvlText w:val="%1."/>
      <w:lvlJc w:val="left"/>
      <w:pPr>
        <w:ind w:left="720" w:hanging="360"/>
      </w:pPr>
      <w:rPr>
        <w:rFonts w:cs="Times New Roman" w:hint="default"/>
        <w:b/>
        <w:color w:val="54A738"/>
        <w:sz w:val="3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F6A07FF"/>
    <w:multiLevelType w:val="hybridMultilevel"/>
    <w:tmpl w:val="D5722F84"/>
    <w:lvl w:ilvl="0" w:tplc="8020D8E2">
      <w:start w:val="1"/>
      <w:numFmt w:val="bullet"/>
      <w:lvlText w:val=""/>
      <w:lvlJc w:val="left"/>
      <w:pPr>
        <w:ind w:left="720" w:hanging="360"/>
      </w:pPr>
      <w:rPr>
        <w:rFonts w:ascii="Symbol" w:hAnsi="Symbol" w:hint="default"/>
        <w:color w:val="244061" w:themeColor="accent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73211C"/>
    <w:multiLevelType w:val="hybridMultilevel"/>
    <w:tmpl w:val="B810CFE2"/>
    <w:lvl w:ilvl="0" w:tplc="8020D8E2">
      <w:start w:val="1"/>
      <w:numFmt w:val="bullet"/>
      <w:lvlText w:val=""/>
      <w:lvlJc w:val="left"/>
      <w:pPr>
        <w:ind w:left="1080" w:hanging="360"/>
      </w:pPr>
      <w:rPr>
        <w:rFonts w:ascii="Symbol" w:hAnsi="Symbol" w:hint="default"/>
        <w:color w:val="244061" w:themeColor="accent1" w:themeShade="8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DD06C2F"/>
    <w:multiLevelType w:val="hybridMultilevel"/>
    <w:tmpl w:val="E61C7AB8"/>
    <w:lvl w:ilvl="0" w:tplc="CD82905E">
      <w:start w:val="1"/>
      <w:numFmt w:val="decimal"/>
      <w:lvlText w:val="%1."/>
      <w:lvlJc w:val="left"/>
      <w:pPr>
        <w:ind w:left="1110" w:hanging="375"/>
      </w:pPr>
      <w:rPr>
        <w:rFonts w:cs="Times New Roman" w:hint="default"/>
        <w:b/>
        <w:color w:val="0070C0"/>
        <w:sz w:val="48"/>
      </w:rPr>
    </w:lvl>
    <w:lvl w:ilvl="1" w:tplc="080A0019" w:tentative="1">
      <w:start w:val="1"/>
      <w:numFmt w:val="lowerLetter"/>
      <w:lvlText w:val="%2."/>
      <w:lvlJc w:val="left"/>
      <w:pPr>
        <w:ind w:left="1815" w:hanging="360"/>
      </w:pPr>
      <w:rPr>
        <w:rFonts w:cs="Times New Roman"/>
      </w:rPr>
    </w:lvl>
    <w:lvl w:ilvl="2" w:tplc="080A001B" w:tentative="1">
      <w:start w:val="1"/>
      <w:numFmt w:val="lowerRoman"/>
      <w:lvlText w:val="%3."/>
      <w:lvlJc w:val="right"/>
      <w:pPr>
        <w:ind w:left="2535" w:hanging="180"/>
      </w:pPr>
      <w:rPr>
        <w:rFonts w:cs="Times New Roman"/>
      </w:rPr>
    </w:lvl>
    <w:lvl w:ilvl="3" w:tplc="080A000F" w:tentative="1">
      <w:start w:val="1"/>
      <w:numFmt w:val="decimal"/>
      <w:lvlText w:val="%4."/>
      <w:lvlJc w:val="left"/>
      <w:pPr>
        <w:ind w:left="3255" w:hanging="360"/>
      </w:pPr>
      <w:rPr>
        <w:rFonts w:cs="Times New Roman"/>
      </w:rPr>
    </w:lvl>
    <w:lvl w:ilvl="4" w:tplc="080A0019" w:tentative="1">
      <w:start w:val="1"/>
      <w:numFmt w:val="lowerLetter"/>
      <w:lvlText w:val="%5."/>
      <w:lvlJc w:val="left"/>
      <w:pPr>
        <w:ind w:left="3975" w:hanging="360"/>
      </w:pPr>
      <w:rPr>
        <w:rFonts w:cs="Times New Roman"/>
      </w:rPr>
    </w:lvl>
    <w:lvl w:ilvl="5" w:tplc="080A001B" w:tentative="1">
      <w:start w:val="1"/>
      <w:numFmt w:val="lowerRoman"/>
      <w:lvlText w:val="%6."/>
      <w:lvlJc w:val="right"/>
      <w:pPr>
        <w:ind w:left="4695" w:hanging="180"/>
      </w:pPr>
      <w:rPr>
        <w:rFonts w:cs="Times New Roman"/>
      </w:rPr>
    </w:lvl>
    <w:lvl w:ilvl="6" w:tplc="080A000F" w:tentative="1">
      <w:start w:val="1"/>
      <w:numFmt w:val="decimal"/>
      <w:lvlText w:val="%7."/>
      <w:lvlJc w:val="left"/>
      <w:pPr>
        <w:ind w:left="5415" w:hanging="360"/>
      </w:pPr>
      <w:rPr>
        <w:rFonts w:cs="Times New Roman"/>
      </w:rPr>
    </w:lvl>
    <w:lvl w:ilvl="7" w:tplc="080A0019" w:tentative="1">
      <w:start w:val="1"/>
      <w:numFmt w:val="lowerLetter"/>
      <w:lvlText w:val="%8."/>
      <w:lvlJc w:val="left"/>
      <w:pPr>
        <w:ind w:left="6135" w:hanging="360"/>
      </w:pPr>
      <w:rPr>
        <w:rFonts w:cs="Times New Roman"/>
      </w:rPr>
    </w:lvl>
    <w:lvl w:ilvl="8" w:tplc="080A001B" w:tentative="1">
      <w:start w:val="1"/>
      <w:numFmt w:val="lowerRoman"/>
      <w:lvlText w:val="%9."/>
      <w:lvlJc w:val="right"/>
      <w:pPr>
        <w:ind w:left="6855" w:hanging="180"/>
      </w:pPr>
      <w:rPr>
        <w:rFonts w:cs="Times New Roman"/>
      </w:rPr>
    </w:lvl>
  </w:abstractNum>
  <w:abstractNum w:abstractNumId="10" w15:restartNumberingAfterBreak="0">
    <w:nsid w:val="534F4C42"/>
    <w:multiLevelType w:val="hybridMultilevel"/>
    <w:tmpl w:val="A2FABBB8"/>
    <w:lvl w:ilvl="0" w:tplc="8020D8E2">
      <w:start w:val="1"/>
      <w:numFmt w:val="bullet"/>
      <w:lvlText w:val=""/>
      <w:lvlJc w:val="left"/>
      <w:pPr>
        <w:ind w:left="720" w:hanging="360"/>
      </w:pPr>
      <w:rPr>
        <w:rFonts w:ascii="Symbol" w:hAnsi="Symbol" w:hint="default"/>
        <w:color w:val="244061" w:themeColor="accent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454A61"/>
    <w:multiLevelType w:val="hybridMultilevel"/>
    <w:tmpl w:val="FC8AD5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DF4DF4"/>
    <w:multiLevelType w:val="hybridMultilevel"/>
    <w:tmpl w:val="9BBE66DA"/>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69B62A15"/>
    <w:multiLevelType w:val="hybridMultilevel"/>
    <w:tmpl w:val="482AE76C"/>
    <w:lvl w:ilvl="0" w:tplc="8020D8E2">
      <w:start w:val="1"/>
      <w:numFmt w:val="bullet"/>
      <w:lvlText w:val=""/>
      <w:lvlJc w:val="left"/>
      <w:pPr>
        <w:ind w:left="720" w:hanging="360"/>
      </w:pPr>
      <w:rPr>
        <w:rFonts w:ascii="Symbol" w:hAnsi="Symbol" w:hint="default"/>
        <w:color w:val="244061" w:themeColor="accent1" w:themeShade="8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03099D"/>
    <w:multiLevelType w:val="hybridMultilevel"/>
    <w:tmpl w:val="A11E8A6E"/>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7398721E"/>
    <w:multiLevelType w:val="hybridMultilevel"/>
    <w:tmpl w:val="516AABCE"/>
    <w:lvl w:ilvl="0" w:tplc="080A000F">
      <w:start w:val="1"/>
      <w:numFmt w:val="decimal"/>
      <w:lvlText w:val="%1."/>
      <w:lvlJc w:val="left"/>
      <w:pPr>
        <w:ind w:left="294" w:hanging="360"/>
      </w:pPr>
      <w:rPr>
        <w:rFonts w:cs="Times New Roman"/>
      </w:rPr>
    </w:lvl>
    <w:lvl w:ilvl="1" w:tplc="080A0019" w:tentative="1">
      <w:start w:val="1"/>
      <w:numFmt w:val="lowerLetter"/>
      <w:lvlText w:val="%2."/>
      <w:lvlJc w:val="left"/>
      <w:pPr>
        <w:ind w:left="1014" w:hanging="360"/>
      </w:pPr>
      <w:rPr>
        <w:rFonts w:cs="Times New Roman"/>
      </w:rPr>
    </w:lvl>
    <w:lvl w:ilvl="2" w:tplc="080A001B" w:tentative="1">
      <w:start w:val="1"/>
      <w:numFmt w:val="lowerRoman"/>
      <w:lvlText w:val="%3."/>
      <w:lvlJc w:val="right"/>
      <w:pPr>
        <w:ind w:left="1734" w:hanging="180"/>
      </w:pPr>
      <w:rPr>
        <w:rFonts w:cs="Times New Roman"/>
      </w:rPr>
    </w:lvl>
    <w:lvl w:ilvl="3" w:tplc="080A000F" w:tentative="1">
      <w:start w:val="1"/>
      <w:numFmt w:val="decimal"/>
      <w:lvlText w:val="%4."/>
      <w:lvlJc w:val="left"/>
      <w:pPr>
        <w:ind w:left="2454" w:hanging="360"/>
      </w:pPr>
      <w:rPr>
        <w:rFonts w:cs="Times New Roman"/>
      </w:rPr>
    </w:lvl>
    <w:lvl w:ilvl="4" w:tplc="080A0019" w:tentative="1">
      <w:start w:val="1"/>
      <w:numFmt w:val="lowerLetter"/>
      <w:lvlText w:val="%5."/>
      <w:lvlJc w:val="left"/>
      <w:pPr>
        <w:ind w:left="3174" w:hanging="360"/>
      </w:pPr>
      <w:rPr>
        <w:rFonts w:cs="Times New Roman"/>
      </w:rPr>
    </w:lvl>
    <w:lvl w:ilvl="5" w:tplc="080A001B" w:tentative="1">
      <w:start w:val="1"/>
      <w:numFmt w:val="lowerRoman"/>
      <w:lvlText w:val="%6."/>
      <w:lvlJc w:val="right"/>
      <w:pPr>
        <w:ind w:left="3894" w:hanging="180"/>
      </w:pPr>
      <w:rPr>
        <w:rFonts w:cs="Times New Roman"/>
      </w:rPr>
    </w:lvl>
    <w:lvl w:ilvl="6" w:tplc="080A000F" w:tentative="1">
      <w:start w:val="1"/>
      <w:numFmt w:val="decimal"/>
      <w:lvlText w:val="%7."/>
      <w:lvlJc w:val="left"/>
      <w:pPr>
        <w:ind w:left="4614" w:hanging="360"/>
      </w:pPr>
      <w:rPr>
        <w:rFonts w:cs="Times New Roman"/>
      </w:rPr>
    </w:lvl>
    <w:lvl w:ilvl="7" w:tplc="080A0019" w:tentative="1">
      <w:start w:val="1"/>
      <w:numFmt w:val="lowerLetter"/>
      <w:lvlText w:val="%8."/>
      <w:lvlJc w:val="left"/>
      <w:pPr>
        <w:ind w:left="5334" w:hanging="360"/>
      </w:pPr>
      <w:rPr>
        <w:rFonts w:cs="Times New Roman"/>
      </w:rPr>
    </w:lvl>
    <w:lvl w:ilvl="8" w:tplc="080A001B" w:tentative="1">
      <w:start w:val="1"/>
      <w:numFmt w:val="lowerRoman"/>
      <w:lvlText w:val="%9."/>
      <w:lvlJc w:val="right"/>
      <w:pPr>
        <w:ind w:left="6054" w:hanging="180"/>
      </w:pPr>
      <w:rPr>
        <w:rFonts w:cs="Times New Roman"/>
      </w:rPr>
    </w:lvl>
  </w:abstractNum>
  <w:abstractNum w:abstractNumId="16" w15:restartNumberingAfterBreak="0">
    <w:nsid w:val="75D25700"/>
    <w:multiLevelType w:val="hybridMultilevel"/>
    <w:tmpl w:val="A7F6F4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8245F90"/>
    <w:multiLevelType w:val="hybridMultilevel"/>
    <w:tmpl w:val="C5721A6A"/>
    <w:lvl w:ilvl="0" w:tplc="8020D8E2">
      <w:start w:val="1"/>
      <w:numFmt w:val="bullet"/>
      <w:lvlText w:val=""/>
      <w:lvlJc w:val="left"/>
      <w:pPr>
        <w:ind w:left="720" w:hanging="360"/>
      </w:pPr>
      <w:rPr>
        <w:rFonts w:ascii="Symbol" w:hAnsi="Symbol" w:hint="default"/>
        <w:color w:val="244061" w:themeColor="accent1" w:themeShade="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4"/>
  </w:num>
  <w:num w:numId="5">
    <w:abstractNumId w:val="16"/>
  </w:num>
  <w:num w:numId="6">
    <w:abstractNumId w:val="1"/>
  </w:num>
  <w:num w:numId="7">
    <w:abstractNumId w:val="9"/>
  </w:num>
  <w:num w:numId="8">
    <w:abstractNumId w:val="11"/>
  </w:num>
  <w:num w:numId="9">
    <w:abstractNumId w:val="2"/>
  </w:num>
  <w:num w:numId="10">
    <w:abstractNumId w:val="4"/>
  </w:num>
  <w:num w:numId="11">
    <w:abstractNumId w:val="5"/>
  </w:num>
  <w:num w:numId="12">
    <w:abstractNumId w:val="3"/>
  </w:num>
  <w:num w:numId="13">
    <w:abstractNumId w:val="7"/>
  </w:num>
  <w:num w:numId="14">
    <w:abstractNumId w:val="13"/>
  </w:num>
  <w:num w:numId="15">
    <w:abstractNumId w:val="10"/>
  </w:num>
  <w:num w:numId="16">
    <w:abstractNumId w:val="8"/>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AF"/>
    <w:rsid w:val="0001167B"/>
    <w:rsid w:val="00011BA1"/>
    <w:rsid w:val="00016A49"/>
    <w:rsid w:val="0002652F"/>
    <w:rsid w:val="00026DF1"/>
    <w:rsid w:val="00035FA4"/>
    <w:rsid w:val="00047F36"/>
    <w:rsid w:val="000528AD"/>
    <w:rsid w:val="00052B28"/>
    <w:rsid w:val="000660A1"/>
    <w:rsid w:val="000721EB"/>
    <w:rsid w:val="000821C6"/>
    <w:rsid w:val="0009014E"/>
    <w:rsid w:val="000A4485"/>
    <w:rsid w:val="000C4A3D"/>
    <w:rsid w:val="000C525C"/>
    <w:rsid w:val="000D31F0"/>
    <w:rsid w:val="000E1EED"/>
    <w:rsid w:val="0012039B"/>
    <w:rsid w:val="001431A9"/>
    <w:rsid w:val="0014740F"/>
    <w:rsid w:val="00192556"/>
    <w:rsid w:val="00196671"/>
    <w:rsid w:val="00196D1E"/>
    <w:rsid w:val="001B261B"/>
    <w:rsid w:val="001C7597"/>
    <w:rsid w:val="001E4612"/>
    <w:rsid w:val="002001B0"/>
    <w:rsid w:val="00216641"/>
    <w:rsid w:val="002500E1"/>
    <w:rsid w:val="0026723B"/>
    <w:rsid w:val="002B1C42"/>
    <w:rsid w:val="002C4B86"/>
    <w:rsid w:val="002C60CF"/>
    <w:rsid w:val="002C7595"/>
    <w:rsid w:val="00306BDB"/>
    <w:rsid w:val="00320871"/>
    <w:rsid w:val="00321E9E"/>
    <w:rsid w:val="00331A51"/>
    <w:rsid w:val="00357ABE"/>
    <w:rsid w:val="0039610D"/>
    <w:rsid w:val="003B5EC2"/>
    <w:rsid w:val="003B664F"/>
    <w:rsid w:val="003F610C"/>
    <w:rsid w:val="003F7BF8"/>
    <w:rsid w:val="004079B5"/>
    <w:rsid w:val="0041634B"/>
    <w:rsid w:val="004175F4"/>
    <w:rsid w:val="004233F4"/>
    <w:rsid w:val="004636A3"/>
    <w:rsid w:val="004648C6"/>
    <w:rsid w:val="0047439C"/>
    <w:rsid w:val="004B01DF"/>
    <w:rsid w:val="004B2F3A"/>
    <w:rsid w:val="004B2F4F"/>
    <w:rsid w:val="004C1381"/>
    <w:rsid w:val="004C7960"/>
    <w:rsid w:val="004E001F"/>
    <w:rsid w:val="004E41AB"/>
    <w:rsid w:val="005057A6"/>
    <w:rsid w:val="00515251"/>
    <w:rsid w:val="00531A20"/>
    <w:rsid w:val="005611E0"/>
    <w:rsid w:val="005652F2"/>
    <w:rsid w:val="00571983"/>
    <w:rsid w:val="005919B6"/>
    <w:rsid w:val="00592489"/>
    <w:rsid w:val="005B31BA"/>
    <w:rsid w:val="005B4B71"/>
    <w:rsid w:val="005B5DD5"/>
    <w:rsid w:val="005D7C7E"/>
    <w:rsid w:val="005E142A"/>
    <w:rsid w:val="005E4B00"/>
    <w:rsid w:val="00630DB7"/>
    <w:rsid w:val="00635DEE"/>
    <w:rsid w:val="00656E6C"/>
    <w:rsid w:val="0066143F"/>
    <w:rsid w:val="00687262"/>
    <w:rsid w:val="006911A4"/>
    <w:rsid w:val="00694877"/>
    <w:rsid w:val="006B1403"/>
    <w:rsid w:val="006B15B2"/>
    <w:rsid w:val="006D2ADD"/>
    <w:rsid w:val="006E342C"/>
    <w:rsid w:val="006E40BB"/>
    <w:rsid w:val="00732900"/>
    <w:rsid w:val="0074191D"/>
    <w:rsid w:val="00747B0D"/>
    <w:rsid w:val="007728DF"/>
    <w:rsid w:val="00780911"/>
    <w:rsid w:val="00791435"/>
    <w:rsid w:val="007A1B6E"/>
    <w:rsid w:val="007D5875"/>
    <w:rsid w:val="007E745F"/>
    <w:rsid w:val="008053EF"/>
    <w:rsid w:val="0080707D"/>
    <w:rsid w:val="00810926"/>
    <w:rsid w:val="008266F9"/>
    <w:rsid w:val="008322F9"/>
    <w:rsid w:val="00836DCC"/>
    <w:rsid w:val="00866F3B"/>
    <w:rsid w:val="00883490"/>
    <w:rsid w:val="0089764C"/>
    <w:rsid w:val="008A3780"/>
    <w:rsid w:val="008C5F39"/>
    <w:rsid w:val="008D33FF"/>
    <w:rsid w:val="008D7575"/>
    <w:rsid w:val="008E25A4"/>
    <w:rsid w:val="008F1CAC"/>
    <w:rsid w:val="0091266F"/>
    <w:rsid w:val="00922BBF"/>
    <w:rsid w:val="00924685"/>
    <w:rsid w:val="00924E11"/>
    <w:rsid w:val="00926D6E"/>
    <w:rsid w:val="009346B4"/>
    <w:rsid w:val="00982822"/>
    <w:rsid w:val="00985118"/>
    <w:rsid w:val="0099720C"/>
    <w:rsid w:val="009A34C4"/>
    <w:rsid w:val="009C43EC"/>
    <w:rsid w:val="009C5EA3"/>
    <w:rsid w:val="009D5BBC"/>
    <w:rsid w:val="009D79FB"/>
    <w:rsid w:val="009E2715"/>
    <w:rsid w:val="00A27E21"/>
    <w:rsid w:val="00A54870"/>
    <w:rsid w:val="00A915FA"/>
    <w:rsid w:val="00A950CA"/>
    <w:rsid w:val="00AB78A1"/>
    <w:rsid w:val="00AD24C7"/>
    <w:rsid w:val="00B26EAF"/>
    <w:rsid w:val="00B35447"/>
    <w:rsid w:val="00B447A8"/>
    <w:rsid w:val="00B661CF"/>
    <w:rsid w:val="00B87D92"/>
    <w:rsid w:val="00B93F2F"/>
    <w:rsid w:val="00B966D1"/>
    <w:rsid w:val="00BB6622"/>
    <w:rsid w:val="00BC464C"/>
    <w:rsid w:val="00BC46AD"/>
    <w:rsid w:val="00BC605B"/>
    <w:rsid w:val="00BF4001"/>
    <w:rsid w:val="00C060B4"/>
    <w:rsid w:val="00C06B5B"/>
    <w:rsid w:val="00C249C3"/>
    <w:rsid w:val="00C263D1"/>
    <w:rsid w:val="00C32030"/>
    <w:rsid w:val="00C32033"/>
    <w:rsid w:val="00C452B1"/>
    <w:rsid w:val="00C515C1"/>
    <w:rsid w:val="00C649B9"/>
    <w:rsid w:val="00C64A88"/>
    <w:rsid w:val="00C70329"/>
    <w:rsid w:val="00C717EF"/>
    <w:rsid w:val="00C76C30"/>
    <w:rsid w:val="00C82577"/>
    <w:rsid w:val="00C835EE"/>
    <w:rsid w:val="00CA0C7B"/>
    <w:rsid w:val="00CA1300"/>
    <w:rsid w:val="00CB0107"/>
    <w:rsid w:val="00CB6501"/>
    <w:rsid w:val="00CC1A6E"/>
    <w:rsid w:val="00CC1D3E"/>
    <w:rsid w:val="00CE6CB5"/>
    <w:rsid w:val="00CF4F1A"/>
    <w:rsid w:val="00CF54AC"/>
    <w:rsid w:val="00D135E6"/>
    <w:rsid w:val="00D377E2"/>
    <w:rsid w:val="00D41CB8"/>
    <w:rsid w:val="00D41E21"/>
    <w:rsid w:val="00D45FC3"/>
    <w:rsid w:val="00D47100"/>
    <w:rsid w:val="00D62DE2"/>
    <w:rsid w:val="00D6428C"/>
    <w:rsid w:val="00D656FE"/>
    <w:rsid w:val="00D733C0"/>
    <w:rsid w:val="00DB7096"/>
    <w:rsid w:val="00DD3BCF"/>
    <w:rsid w:val="00E17BCA"/>
    <w:rsid w:val="00E2554E"/>
    <w:rsid w:val="00E37F79"/>
    <w:rsid w:val="00E462A1"/>
    <w:rsid w:val="00E50E9B"/>
    <w:rsid w:val="00E7744F"/>
    <w:rsid w:val="00E8091F"/>
    <w:rsid w:val="00E867FD"/>
    <w:rsid w:val="00EA1111"/>
    <w:rsid w:val="00ED26F8"/>
    <w:rsid w:val="00ED3549"/>
    <w:rsid w:val="00EE25CD"/>
    <w:rsid w:val="00EE3F6F"/>
    <w:rsid w:val="00EF481B"/>
    <w:rsid w:val="00EF4D8A"/>
    <w:rsid w:val="00F00683"/>
    <w:rsid w:val="00F02C1F"/>
    <w:rsid w:val="00F16744"/>
    <w:rsid w:val="00F656DB"/>
    <w:rsid w:val="00F67F47"/>
    <w:rsid w:val="00F82B3D"/>
    <w:rsid w:val="00F96C18"/>
    <w:rsid w:val="00FC2311"/>
    <w:rsid w:val="00FE1987"/>
    <w:rsid w:val="00FE3479"/>
    <w:rsid w:val="00FE4111"/>
    <w:rsid w:val="00FE7897"/>
    <w:rsid w:val="00FF1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C189E"/>
  <w15:docId w15:val="{A935D624-D16B-4D46-8A84-41850DC0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8D33FF"/>
    <w:pPr>
      <w:spacing w:after="180" w:line="274" w:lineRule="auto"/>
    </w:pPr>
    <w:rPr>
      <w:sz w:val="21"/>
      <w:lang w:eastAsia="en-US"/>
    </w:rPr>
  </w:style>
  <w:style w:type="paragraph" w:styleId="Ttulo1">
    <w:name w:val="heading 1"/>
    <w:aliases w:val="Tema"/>
    <w:basedOn w:val="Normal"/>
    <w:next w:val="Normal"/>
    <w:link w:val="Ttulo1Car"/>
    <w:uiPriority w:val="99"/>
    <w:qFormat/>
    <w:rsid w:val="008D33FF"/>
    <w:pPr>
      <w:keepNext/>
      <w:keepLines/>
      <w:spacing w:before="360" w:after="0" w:line="240" w:lineRule="auto"/>
      <w:outlineLvl w:val="0"/>
    </w:pPr>
    <w:rPr>
      <w:rFonts w:eastAsia="HGMaruGothicMPRO"/>
      <w:bCs/>
      <w:color w:val="0F6FC6"/>
      <w:spacing w:val="20"/>
      <w:sz w:val="32"/>
      <w:szCs w:val="28"/>
    </w:rPr>
  </w:style>
  <w:style w:type="paragraph" w:styleId="Ttulo2">
    <w:name w:val="heading 2"/>
    <w:aliases w:val="Subtema"/>
    <w:basedOn w:val="Normal"/>
    <w:next w:val="Normal"/>
    <w:link w:val="Ttulo2Car"/>
    <w:uiPriority w:val="99"/>
    <w:qFormat/>
    <w:rsid w:val="008D33FF"/>
    <w:pPr>
      <w:keepNext/>
      <w:keepLines/>
      <w:spacing w:before="120" w:after="0" w:line="240" w:lineRule="auto"/>
      <w:outlineLvl w:val="1"/>
    </w:pPr>
    <w:rPr>
      <w:rFonts w:eastAsia="HGMaruGothicMPRO"/>
      <w:b/>
      <w:bCs/>
      <w:color w:val="0F6FC6"/>
      <w:sz w:val="28"/>
      <w:szCs w:val="26"/>
    </w:rPr>
  </w:style>
  <w:style w:type="paragraph" w:styleId="Ttulo3">
    <w:name w:val="heading 3"/>
    <w:basedOn w:val="Normal"/>
    <w:next w:val="Normal"/>
    <w:link w:val="Ttulo3Car"/>
    <w:uiPriority w:val="99"/>
    <w:qFormat/>
    <w:rsid w:val="008D33FF"/>
    <w:pPr>
      <w:keepNext/>
      <w:keepLines/>
      <w:spacing w:before="20" w:after="0" w:line="240" w:lineRule="auto"/>
      <w:outlineLvl w:val="2"/>
    </w:pPr>
    <w:rPr>
      <w:rFonts w:eastAsia="HGMaruGothicMPRO"/>
      <w:bCs/>
      <w:color w:val="04617B"/>
      <w:spacing w:val="14"/>
      <w:sz w:val="24"/>
    </w:rPr>
  </w:style>
  <w:style w:type="paragraph" w:styleId="Ttulo4">
    <w:name w:val="heading 4"/>
    <w:aliases w:val="Títulos Cuadros"/>
    <w:basedOn w:val="Normal"/>
    <w:next w:val="Normal"/>
    <w:link w:val="Ttulo4Car"/>
    <w:uiPriority w:val="99"/>
    <w:qFormat/>
    <w:rsid w:val="008D33FF"/>
    <w:pPr>
      <w:keepNext/>
      <w:keepLines/>
      <w:spacing w:before="200" w:after="0"/>
      <w:outlineLvl w:val="3"/>
    </w:pPr>
    <w:rPr>
      <w:rFonts w:eastAsia="HGMaruGothicMPRO"/>
      <w:b/>
      <w:bCs/>
      <w:i/>
      <w:iCs/>
      <w:color w:val="000000"/>
      <w:sz w:val="24"/>
    </w:rPr>
  </w:style>
  <w:style w:type="paragraph" w:styleId="Ttulo5">
    <w:name w:val="heading 5"/>
    <w:aliases w:val="Encabezados"/>
    <w:basedOn w:val="Normal"/>
    <w:next w:val="Normal"/>
    <w:link w:val="Ttulo5Car"/>
    <w:uiPriority w:val="99"/>
    <w:qFormat/>
    <w:rsid w:val="008D33FF"/>
    <w:pPr>
      <w:keepNext/>
      <w:keepLines/>
      <w:spacing w:before="200" w:after="0"/>
      <w:outlineLvl w:val="4"/>
    </w:pPr>
    <w:rPr>
      <w:rFonts w:eastAsia="HGMaruGothicMPRO"/>
      <w:color w:val="000000"/>
      <w:sz w:val="22"/>
    </w:rPr>
  </w:style>
  <w:style w:type="paragraph" w:styleId="Ttulo6">
    <w:name w:val="heading 6"/>
    <w:aliases w:val="Subtema 2"/>
    <w:basedOn w:val="Normal"/>
    <w:next w:val="Normal"/>
    <w:link w:val="Ttulo6Car"/>
    <w:uiPriority w:val="99"/>
    <w:qFormat/>
    <w:rsid w:val="008D33FF"/>
    <w:pPr>
      <w:keepNext/>
      <w:keepLines/>
      <w:spacing w:before="200" w:after="0"/>
      <w:outlineLvl w:val="5"/>
    </w:pPr>
    <w:rPr>
      <w:rFonts w:eastAsia="HGMaruGothicMPRO"/>
      <w:iCs/>
      <w:color w:val="0F6FC6"/>
      <w:sz w:val="22"/>
    </w:rPr>
  </w:style>
  <w:style w:type="paragraph" w:styleId="Ttulo7">
    <w:name w:val="heading 7"/>
    <w:basedOn w:val="Normal"/>
    <w:next w:val="Normal"/>
    <w:link w:val="Ttulo7Car"/>
    <w:uiPriority w:val="99"/>
    <w:qFormat/>
    <w:rsid w:val="008D33FF"/>
    <w:pPr>
      <w:keepNext/>
      <w:keepLines/>
      <w:spacing w:before="200" w:after="0"/>
      <w:outlineLvl w:val="6"/>
    </w:pPr>
    <w:rPr>
      <w:rFonts w:eastAsia="HGMaruGothicMPRO"/>
      <w:i/>
      <w:iCs/>
      <w:color w:val="000000"/>
      <w:sz w:val="22"/>
    </w:rPr>
  </w:style>
  <w:style w:type="paragraph" w:styleId="Ttulo8">
    <w:name w:val="heading 8"/>
    <w:basedOn w:val="Normal"/>
    <w:next w:val="Normal"/>
    <w:link w:val="Ttulo8Car"/>
    <w:uiPriority w:val="99"/>
    <w:qFormat/>
    <w:rsid w:val="008D33FF"/>
    <w:pPr>
      <w:keepNext/>
      <w:keepLines/>
      <w:spacing w:before="200" w:after="0"/>
      <w:outlineLvl w:val="7"/>
    </w:pPr>
    <w:rPr>
      <w:rFonts w:eastAsia="HGMaruGothicMPRO"/>
      <w:color w:val="000000"/>
      <w:sz w:val="20"/>
      <w:szCs w:val="20"/>
    </w:rPr>
  </w:style>
  <w:style w:type="paragraph" w:styleId="Ttulo9">
    <w:name w:val="heading 9"/>
    <w:basedOn w:val="Normal"/>
    <w:next w:val="Normal"/>
    <w:link w:val="Ttulo9Car"/>
    <w:uiPriority w:val="99"/>
    <w:qFormat/>
    <w:rsid w:val="008D33FF"/>
    <w:pPr>
      <w:keepNext/>
      <w:keepLines/>
      <w:spacing w:before="200" w:after="0"/>
      <w:outlineLvl w:val="8"/>
    </w:pPr>
    <w:rPr>
      <w:rFonts w:eastAsia="HGMaruGothicMPRO"/>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ema Car"/>
    <w:basedOn w:val="Fuentedeprrafopredeter"/>
    <w:link w:val="Ttulo1"/>
    <w:uiPriority w:val="99"/>
    <w:locked/>
    <w:rsid w:val="008D33FF"/>
    <w:rPr>
      <w:rFonts w:ascii="Trebuchet MS" w:eastAsia="HGMaruGothicMPRO" w:hAnsi="Trebuchet MS" w:cs="Times New Roman"/>
      <w:bCs/>
      <w:color w:val="0F6FC6"/>
      <w:spacing w:val="20"/>
      <w:sz w:val="28"/>
      <w:szCs w:val="28"/>
    </w:rPr>
  </w:style>
  <w:style w:type="character" w:customStyle="1" w:styleId="Ttulo2Car">
    <w:name w:val="Título 2 Car"/>
    <w:aliases w:val="Subtema Car"/>
    <w:basedOn w:val="Fuentedeprrafopredeter"/>
    <w:link w:val="Ttulo2"/>
    <w:uiPriority w:val="99"/>
    <w:locked/>
    <w:rsid w:val="008D33FF"/>
    <w:rPr>
      <w:rFonts w:eastAsia="HGMaruGothicMPRO" w:cs="Times New Roman"/>
      <w:b/>
      <w:bCs/>
      <w:color w:val="0F6FC6"/>
      <w:sz w:val="26"/>
      <w:szCs w:val="26"/>
    </w:rPr>
  </w:style>
  <w:style w:type="character" w:customStyle="1" w:styleId="Ttulo3Car">
    <w:name w:val="Título 3 Car"/>
    <w:basedOn w:val="Fuentedeprrafopredeter"/>
    <w:link w:val="Ttulo3"/>
    <w:uiPriority w:val="99"/>
    <w:locked/>
    <w:rsid w:val="008D33FF"/>
    <w:rPr>
      <w:rFonts w:ascii="Trebuchet MS" w:eastAsia="HGMaruGothicMPRO" w:hAnsi="Trebuchet MS" w:cs="Times New Roman"/>
      <w:bCs/>
      <w:color w:val="04617B"/>
      <w:spacing w:val="14"/>
      <w:sz w:val="24"/>
    </w:rPr>
  </w:style>
  <w:style w:type="character" w:customStyle="1" w:styleId="Ttulo4Car">
    <w:name w:val="Título 4 Car"/>
    <w:aliases w:val="Títulos Cuadros Car"/>
    <w:basedOn w:val="Fuentedeprrafopredeter"/>
    <w:link w:val="Ttulo4"/>
    <w:uiPriority w:val="99"/>
    <w:locked/>
    <w:rsid w:val="008D33FF"/>
    <w:rPr>
      <w:rFonts w:eastAsia="HGMaruGothicMPRO" w:cs="Times New Roman"/>
      <w:b/>
      <w:bCs/>
      <w:i/>
      <w:iCs/>
      <w:color w:val="000000"/>
      <w:sz w:val="24"/>
    </w:rPr>
  </w:style>
  <w:style w:type="character" w:customStyle="1" w:styleId="Ttulo5Car">
    <w:name w:val="Título 5 Car"/>
    <w:aliases w:val="Encabezados Car"/>
    <w:basedOn w:val="Fuentedeprrafopredeter"/>
    <w:link w:val="Ttulo5"/>
    <w:uiPriority w:val="99"/>
    <w:locked/>
    <w:rsid w:val="008D33FF"/>
    <w:rPr>
      <w:rFonts w:ascii="Trebuchet MS" w:eastAsia="HGMaruGothicMPRO" w:hAnsi="Trebuchet MS" w:cs="Times New Roman"/>
      <w:color w:val="000000"/>
    </w:rPr>
  </w:style>
  <w:style w:type="character" w:customStyle="1" w:styleId="Ttulo6Car">
    <w:name w:val="Título 6 Car"/>
    <w:aliases w:val="Subtema 2 Car"/>
    <w:basedOn w:val="Fuentedeprrafopredeter"/>
    <w:link w:val="Ttulo6"/>
    <w:uiPriority w:val="99"/>
    <w:locked/>
    <w:rsid w:val="008D33FF"/>
    <w:rPr>
      <w:rFonts w:ascii="Trebuchet MS" w:eastAsia="HGMaruGothicMPRO" w:hAnsi="Trebuchet MS" w:cs="Times New Roman"/>
      <w:iCs/>
      <w:color w:val="0F6FC6"/>
    </w:rPr>
  </w:style>
  <w:style w:type="character" w:customStyle="1" w:styleId="Ttulo7Car">
    <w:name w:val="Título 7 Car"/>
    <w:basedOn w:val="Fuentedeprrafopredeter"/>
    <w:link w:val="Ttulo7"/>
    <w:uiPriority w:val="99"/>
    <w:semiHidden/>
    <w:locked/>
    <w:rsid w:val="008D33FF"/>
    <w:rPr>
      <w:rFonts w:ascii="Trebuchet MS" w:eastAsia="HGMaruGothicMPRO" w:hAnsi="Trebuchet MS" w:cs="Times New Roman"/>
      <w:i/>
      <w:iCs/>
      <w:color w:val="000000"/>
    </w:rPr>
  </w:style>
  <w:style w:type="character" w:customStyle="1" w:styleId="Ttulo8Car">
    <w:name w:val="Título 8 Car"/>
    <w:basedOn w:val="Fuentedeprrafopredeter"/>
    <w:link w:val="Ttulo8"/>
    <w:uiPriority w:val="99"/>
    <w:semiHidden/>
    <w:locked/>
    <w:rsid w:val="008D33FF"/>
    <w:rPr>
      <w:rFonts w:ascii="Trebuchet MS" w:eastAsia="HGMaruGothicMPRO" w:hAnsi="Trebuchet MS" w:cs="Times New Roman"/>
      <w:color w:val="000000"/>
      <w:sz w:val="20"/>
      <w:szCs w:val="20"/>
    </w:rPr>
  </w:style>
  <w:style w:type="character" w:customStyle="1" w:styleId="Ttulo9Car">
    <w:name w:val="Título 9 Car"/>
    <w:basedOn w:val="Fuentedeprrafopredeter"/>
    <w:link w:val="Ttulo9"/>
    <w:uiPriority w:val="99"/>
    <w:semiHidden/>
    <w:locked/>
    <w:rsid w:val="008D33FF"/>
    <w:rPr>
      <w:rFonts w:ascii="Trebuchet MS" w:eastAsia="HGMaruGothicMPRO" w:hAnsi="Trebuchet MS" w:cs="Times New Roman"/>
      <w:i/>
      <w:iCs/>
      <w:color w:val="000000"/>
      <w:sz w:val="20"/>
      <w:szCs w:val="20"/>
    </w:rPr>
  </w:style>
  <w:style w:type="paragraph" w:styleId="Encabezado">
    <w:name w:val="header"/>
    <w:basedOn w:val="Normal"/>
    <w:link w:val="EncabezadoCar"/>
    <w:uiPriority w:val="99"/>
    <w:rsid w:val="00C32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32030"/>
    <w:rPr>
      <w:rFonts w:cs="Times New Roman"/>
    </w:rPr>
  </w:style>
  <w:style w:type="paragraph" w:styleId="Piedepgina">
    <w:name w:val="footer"/>
    <w:basedOn w:val="Normal"/>
    <w:link w:val="PiedepginaCar"/>
    <w:uiPriority w:val="99"/>
    <w:rsid w:val="00C32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32030"/>
    <w:rPr>
      <w:rFonts w:cs="Times New Roman"/>
    </w:rPr>
  </w:style>
  <w:style w:type="table" w:styleId="Tablaconcuadrcula">
    <w:name w:val="Table Grid"/>
    <w:basedOn w:val="Tablanormal"/>
    <w:uiPriority w:val="99"/>
    <w:rsid w:val="007809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D33FF"/>
    <w:pPr>
      <w:spacing w:line="240" w:lineRule="auto"/>
      <w:ind w:left="720" w:hanging="288"/>
      <w:contextualSpacing/>
    </w:pPr>
    <w:rPr>
      <w:color w:val="04617B"/>
    </w:rPr>
  </w:style>
  <w:style w:type="table" w:customStyle="1" w:styleId="Tablanormal11">
    <w:name w:val="Tabla normal 11"/>
    <w:uiPriority w:val="99"/>
    <w:rsid w:val="00C70329"/>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rsid w:val="009E2715"/>
    <w:pPr>
      <w:spacing w:before="100" w:beforeAutospacing="1" w:after="100" w:afterAutospacing="1" w:line="240" w:lineRule="auto"/>
    </w:pPr>
    <w:rPr>
      <w:rFonts w:ascii="Times New Roman" w:eastAsia="HGMaruGothicMPRO" w:hAnsi="Times New Roman"/>
      <w:sz w:val="24"/>
      <w:szCs w:val="24"/>
      <w:lang w:eastAsia="es-MX"/>
    </w:rPr>
  </w:style>
  <w:style w:type="paragraph" w:styleId="Sinespaciado">
    <w:name w:val="No Spacing"/>
    <w:link w:val="SinespaciadoCar"/>
    <w:uiPriority w:val="1"/>
    <w:qFormat/>
    <w:rsid w:val="008D33FF"/>
    <w:rPr>
      <w:lang w:eastAsia="en-US"/>
    </w:rPr>
  </w:style>
  <w:style w:type="paragraph" w:styleId="Textonotapie">
    <w:name w:val="footnote text"/>
    <w:basedOn w:val="Normal"/>
    <w:link w:val="TextonotapieCar"/>
    <w:uiPriority w:val="99"/>
    <w:semiHidden/>
    <w:rsid w:val="00C452B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C452B1"/>
    <w:rPr>
      <w:rFonts w:ascii="Century Gothic" w:hAnsi="Century Gothic" w:cs="Times New Roman"/>
      <w:color w:val="808080"/>
      <w:sz w:val="20"/>
      <w:szCs w:val="20"/>
    </w:rPr>
  </w:style>
  <w:style w:type="character" w:styleId="Refdenotaalpie">
    <w:name w:val="footnote reference"/>
    <w:basedOn w:val="Fuentedeprrafopredeter"/>
    <w:uiPriority w:val="99"/>
    <w:semiHidden/>
    <w:rsid w:val="00C452B1"/>
    <w:rPr>
      <w:rFonts w:cs="Times New Roman"/>
      <w:vertAlign w:val="superscript"/>
    </w:rPr>
  </w:style>
  <w:style w:type="paragraph" w:styleId="Descripcin">
    <w:name w:val="caption"/>
    <w:basedOn w:val="Normal"/>
    <w:next w:val="Normal"/>
    <w:uiPriority w:val="99"/>
    <w:qFormat/>
    <w:rsid w:val="008D33FF"/>
    <w:pPr>
      <w:spacing w:line="240" w:lineRule="auto"/>
    </w:pPr>
    <w:rPr>
      <w:rFonts w:eastAsia="HGMaruGothicMPRO"/>
      <w:bCs/>
      <w:smallCaps/>
      <w:color w:val="04617B"/>
      <w:spacing w:val="6"/>
      <w:sz w:val="22"/>
      <w:szCs w:val="18"/>
      <w:lang w:bidi="hi-IN"/>
    </w:rPr>
  </w:style>
  <w:style w:type="paragraph" w:styleId="Textonotaalfinal">
    <w:name w:val="endnote text"/>
    <w:basedOn w:val="Normal"/>
    <w:link w:val="TextonotaalfinalCar"/>
    <w:uiPriority w:val="99"/>
    <w:semiHidden/>
    <w:rsid w:val="00C452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C452B1"/>
    <w:rPr>
      <w:rFonts w:ascii="Century Gothic" w:hAnsi="Century Gothic" w:cs="Times New Roman"/>
      <w:color w:val="808080"/>
      <w:sz w:val="20"/>
      <w:szCs w:val="20"/>
    </w:rPr>
  </w:style>
  <w:style w:type="character" w:styleId="Refdenotaalfinal">
    <w:name w:val="endnote reference"/>
    <w:basedOn w:val="Fuentedeprrafopredeter"/>
    <w:uiPriority w:val="99"/>
    <w:semiHidden/>
    <w:rsid w:val="00C452B1"/>
    <w:rPr>
      <w:rFonts w:cs="Times New Roman"/>
      <w:vertAlign w:val="superscript"/>
    </w:rPr>
  </w:style>
  <w:style w:type="paragraph" w:styleId="Tabladeilustraciones">
    <w:name w:val="table of figures"/>
    <w:basedOn w:val="Normal"/>
    <w:next w:val="Normal"/>
    <w:uiPriority w:val="99"/>
    <w:rsid w:val="00C060B4"/>
    <w:pPr>
      <w:spacing w:after="0"/>
      <w:ind w:left="440" w:hanging="440"/>
    </w:pPr>
    <w:rPr>
      <w:rFonts w:cs="Trebuchet MS"/>
      <w:smallCaps/>
      <w:sz w:val="20"/>
      <w:szCs w:val="20"/>
    </w:rPr>
  </w:style>
  <w:style w:type="character" w:styleId="Hipervnculo">
    <w:name w:val="Hyperlink"/>
    <w:basedOn w:val="Fuentedeprrafopredeter"/>
    <w:uiPriority w:val="99"/>
    <w:rsid w:val="00C060B4"/>
    <w:rPr>
      <w:rFonts w:cs="Times New Roman"/>
      <w:color w:val="F49100"/>
      <w:u w:val="single"/>
    </w:rPr>
  </w:style>
  <w:style w:type="paragraph" w:styleId="Cita">
    <w:name w:val="Quote"/>
    <w:aliases w:val="Contenidos"/>
    <w:basedOn w:val="Normal"/>
    <w:next w:val="Normal"/>
    <w:link w:val="CitaCar"/>
    <w:uiPriority w:val="99"/>
    <w:qFormat/>
    <w:rsid w:val="008D33FF"/>
    <w:pPr>
      <w:spacing w:after="0" w:line="360" w:lineRule="auto"/>
      <w:jc w:val="center"/>
    </w:pPr>
    <w:rPr>
      <w:rFonts w:eastAsia="HGMaruGothicMPRO"/>
      <w:b/>
      <w:i/>
      <w:iCs/>
      <w:color w:val="0F6FC6"/>
      <w:sz w:val="26"/>
      <w:lang w:bidi="hi-IN"/>
    </w:rPr>
  </w:style>
  <w:style w:type="character" w:customStyle="1" w:styleId="CitaCar">
    <w:name w:val="Cita Car"/>
    <w:aliases w:val="Contenidos Car"/>
    <w:basedOn w:val="Fuentedeprrafopredeter"/>
    <w:link w:val="Cita"/>
    <w:uiPriority w:val="99"/>
    <w:locked/>
    <w:rsid w:val="008D33FF"/>
    <w:rPr>
      <w:rFonts w:eastAsia="HGMaruGothicMPRO" w:cs="Times New Roman"/>
      <w:b/>
      <w:i/>
      <w:iCs/>
      <w:color w:val="0F6FC6"/>
      <w:sz w:val="26"/>
      <w:lang w:bidi="hi-IN"/>
    </w:rPr>
  </w:style>
  <w:style w:type="character" w:customStyle="1" w:styleId="SinespaciadoCar">
    <w:name w:val="Sin espaciado Car"/>
    <w:basedOn w:val="Fuentedeprrafopredeter"/>
    <w:link w:val="Sinespaciado"/>
    <w:uiPriority w:val="1"/>
    <w:locked/>
    <w:rsid w:val="008D33FF"/>
    <w:rPr>
      <w:rFonts w:cs="Times New Roman"/>
      <w:sz w:val="22"/>
      <w:szCs w:val="22"/>
      <w:lang w:val="es-MX" w:eastAsia="en-US" w:bidi="ar-SA"/>
    </w:rPr>
  </w:style>
  <w:style w:type="paragraph" w:styleId="ndice1">
    <w:name w:val="index 1"/>
    <w:basedOn w:val="Normal"/>
    <w:next w:val="Normal"/>
    <w:autoRedefine/>
    <w:uiPriority w:val="99"/>
    <w:rsid w:val="00BC605B"/>
    <w:pPr>
      <w:spacing w:after="0"/>
      <w:ind w:left="220" w:hanging="220"/>
    </w:pPr>
    <w:rPr>
      <w:rFonts w:cs="Trebuchet MS"/>
      <w:sz w:val="20"/>
      <w:szCs w:val="20"/>
    </w:rPr>
  </w:style>
  <w:style w:type="paragraph" w:styleId="ndice2">
    <w:name w:val="index 2"/>
    <w:basedOn w:val="Normal"/>
    <w:next w:val="Normal"/>
    <w:autoRedefine/>
    <w:uiPriority w:val="99"/>
    <w:rsid w:val="00BC605B"/>
    <w:pPr>
      <w:spacing w:after="0"/>
      <w:ind w:left="440" w:hanging="220"/>
    </w:pPr>
    <w:rPr>
      <w:rFonts w:cs="Trebuchet MS"/>
      <w:sz w:val="20"/>
      <w:szCs w:val="20"/>
    </w:rPr>
  </w:style>
  <w:style w:type="paragraph" w:styleId="ndice3">
    <w:name w:val="index 3"/>
    <w:basedOn w:val="Normal"/>
    <w:next w:val="Normal"/>
    <w:autoRedefine/>
    <w:uiPriority w:val="99"/>
    <w:rsid w:val="00BC605B"/>
    <w:pPr>
      <w:spacing w:after="0"/>
      <w:ind w:left="660" w:hanging="220"/>
    </w:pPr>
    <w:rPr>
      <w:rFonts w:cs="Trebuchet MS"/>
      <w:sz w:val="20"/>
      <w:szCs w:val="20"/>
    </w:rPr>
  </w:style>
  <w:style w:type="paragraph" w:styleId="ndice4">
    <w:name w:val="index 4"/>
    <w:basedOn w:val="Normal"/>
    <w:next w:val="Normal"/>
    <w:autoRedefine/>
    <w:uiPriority w:val="99"/>
    <w:rsid w:val="00BC605B"/>
    <w:pPr>
      <w:spacing w:after="0"/>
      <w:ind w:left="880" w:hanging="220"/>
    </w:pPr>
    <w:rPr>
      <w:rFonts w:cs="Trebuchet MS"/>
      <w:sz w:val="20"/>
      <w:szCs w:val="20"/>
    </w:rPr>
  </w:style>
  <w:style w:type="paragraph" w:styleId="ndice5">
    <w:name w:val="index 5"/>
    <w:basedOn w:val="Normal"/>
    <w:next w:val="Normal"/>
    <w:autoRedefine/>
    <w:uiPriority w:val="99"/>
    <w:rsid w:val="00BC605B"/>
    <w:pPr>
      <w:spacing w:after="0"/>
      <w:ind w:left="1100" w:hanging="220"/>
    </w:pPr>
    <w:rPr>
      <w:rFonts w:cs="Trebuchet MS"/>
      <w:sz w:val="20"/>
      <w:szCs w:val="20"/>
    </w:rPr>
  </w:style>
  <w:style w:type="paragraph" w:styleId="ndice6">
    <w:name w:val="index 6"/>
    <w:basedOn w:val="Normal"/>
    <w:next w:val="Normal"/>
    <w:autoRedefine/>
    <w:uiPriority w:val="99"/>
    <w:rsid w:val="00BC605B"/>
    <w:pPr>
      <w:spacing w:after="0"/>
      <w:ind w:left="1320" w:hanging="220"/>
    </w:pPr>
    <w:rPr>
      <w:rFonts w:cs="Trebuchet MS"/>
      <w:sz w:val="20"/>
      <w:szCs w:val="20"/>
    </w:rPr>
  </w:style>
  <w:style w:type="paragraph" w:styleId="ndice7">
    <w:name w:val="index 7"/>
    <w:basedOn w:val="Normal"/>
    <w:next w:val="Normal"/>
    <w:autoRedefine/>
    <w:uiPriority w:val="99"/>
    <w:rsid w:val="00BC605B"/>
    <w:pPr>
      <w:spacing w:after="0"/>
      <w:ind w:left="1540" w:hanging="220"/>
    </w:pPr>
    <w:rPr>
      <w:rFonts w:cs="Trebuchet MS"/>
      <w:sz w:val="20"/>
      <w:szCs w:val="20"/>
    </w:rPr>
  </w:style>
  <w:style w:type="paragraph" w:styleId="ndice8">
    <w:name w:val="index 8"/>
    <w:basedOn w:val="Normal"/>
    <w:next w:val="Normal"/>
    <w:autoRedefine/>
    <w:uiPriority w:val="99"/>
    <w:rsid w:val="00BC605B"/>
    <w:pPr>
      <w:spacing w:after="0"/>
      <w:ind w:left="1760" w:hanging="220"/>
    </w:pPr>
    <w:rPr>
      <w:rFonts w:cs="Trebuchet MS"/>
      <w:sz w:val="20"/>
      <w:szCs w:val="20"/>
    </w:rPr>
  </w:style>
  <w:style w:type="paragraph" w:styleId="ndice9">
    <w:name w:val="index 9"/>
    <w:basedOn w:val="Normal"/>
    <w:next w:val="Normal"/>
    <w:autoRedefine/>
    <w:uiPriority w:val="99"/>
    <w:rsid w:val="00BC605B"/>
    <w:pPr>
      <w:spacing w:after="0"/>
      <w:ind w:left="1980" w:hanging="220"/>
    </w:pPr>
    <w:rPr>
      <w:rFonts w:cs="Trebuchet MS"/>
      <w:sz w:val="20"/>
      <w:szCs w:val="20"/>
    </w:rPr>
  </w:style>
  <w:style w:type="paragraph" w:styleId="Ttulodendice">
    <w:name w:val="index heading"/>
    <w:basedOn w:val="Normal"/>
    <w:next w:val="ndice1"/>
    <w:uiPriority w:val="99"/>
    <w:rsid w:val="00BC605B"/>
    <w:pPr>
      <w:spacing w:before="120" w:after="120"/>
    </w:pPr>
    <w:rPr>
      <w:rFonts w:cs="Trebuchet MS"/>
      <w:b/>
      <w:bCs/>
      <w:i/>
      <w:iCs/>
      <w:sz w:val="20"/>
      <w:szCs w:val="20"/>
    </w:rPr>
  </w:style>
  <w:style w:type="paragraph" w:styleId="TtulodeTDC">
    <w:name w:val="TOC Heading"/>
    <w:basedOn w:val="Ttulo1"/>
    <w:next w:val="Normal"/>
    <w:uiPriority w:val="99"/>
    <w:qFormat/>
    <w:rsid w:val="008D33FF"/>
    <w:pPr>
      <w:spacing w:before="480" w:line="264" w:lineRule="auto"/>
      <w:outlineLvl w:val="9"/>
    </w:pPr>
    <w:rPr>
      <w:b/>
    </w:rPr>
  </w:style>
  <w:style w:type="paragraph" w:styleId="TDC1">
    <w:name w:val="toc 1"/>
    <w:basedOn w:val="Normal"/>
    <w:next w:val="Normal"/>
    <w:autoRedefine/>
    <w:uiPriority w:val="99"/>
    <w:rsid w:val="000A4485"/>
    <w:pPr>
      <w:spacing w:after="100"/>
    </w:pPr>
  </w:style>
  <w:style w:type="paragraph" w:styleId="TDC2">
    <w:name w:val="toc 2"/>
    <w:basedOn w:val="Normal"/>
    <w:next w:val="Normal"/>
    <w:autoRedefine/>
    <w:uiPriority w:val="99"/>
    <w:rsid w:val="000A4485"/>
    <w:pPr>
      <w:spacing w:after="100"/>
      <w:ind w:left="220"/>
    </w:pPr>
  </w:style>
  <w:style w:type="paragraph" w:styleId="TDC3">
    <w:name w:val="toc 3"/>
    <w:basedOn w:val="Normal"/>
    <w:next w:val="Normal"/>
    <w:autoRedefine/>
    <w:uiPriority w:val="99"/>
    <w:rsid w:val="0002652F"/>
    <w:pPr>
      <w:spacing w:after="100"/>
      <w:ind w:left="440"/>
    </w:pPr>
    <w:rPr>
      <w:rFonts w:eastAsia="HGMaruGothicMPRO"/>
      <w:lang w:eastAsia="es-MX"/>
    </w:rPr>
  </w:style>
  <w:style w:type="paragraph" w:styleId="Textodeglobo">
    <w:name w:val="Balloon Text"/>
    <w:basedOn w:val="Normal"/>
    <w:link w:val="TextodegloboCar"/>
    <w:uiPriority w:val="99"/>
    <w:semiHidden/>
    <w:rsid w:val="00CB0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B0107"/>
    <w:rPr>
      <w:rFonts w:ascii="Tahoma" w:hAnsi="Tahoma" w:cs="Tahoma"/>
      <w:color w:val="808080"/>
      <w:sz w:val="16"/>
      <w:szCs w:val="16"/>
    </w:rPr>
  </w:style>
  <w:style w:type="paragraph" w:styleId="Puesto">
    <w:name w:val="Title"/>
    <w:basedOn w:val="Normal"/>
    <w:next w:val="Normal"/>
    <w:link w:val="PuestoCar"/>
    <w:uiPriority w:val="99"/>
    <w:qFormat/>
    <w:rsid w:val="008D33FF"/>
    <w:pPr>
      <w:spacing w:after="120" w:line="240" w:lineRule="auto"/>
      <w:contextualSpacing/>
    </w:pPr>
    <w:rPr>
      <w:rFonts w:eastAsia="HGMaruGothicMPRO"/>
      <w:color w:val="04617B"/>
      <w:spacing w:val="30"/>
      <w:kern w:val="28"/>
      <w:sz w:val="96"/>
      <w:szCs w:val="52"/>
    </w:rPr>
  </w:style>
  <w:style w:type="character" w:customStyle="1" w:styleId="PuestoCar">
    <w:name w:val="Puesto Car"/>
    <w:basedOn w:val="Fuentedeprrafopredeter"/>
    <w:link w:val="Puesto"/>
    <w:uiPriority w:val="99"/>
    <w:locked/>
    <w:rsid w:val="008D33FF"/>
    <w:rPr>
      <w:rFonts w:ascii="Trebuchet MS" w:eastAsia="HGMaruGothicMPRO" w:hAnsi="Trebuchet MS" w:cs="Times New Roman"/>
      <w:color w:val="04617B"/>
      <w:spacing w:val="30"/>
      <w:kern w:val="28"/>
      <w:sz w:val="52"/>
      <w:szCs w:val="52"/>
    </w:rPr>
  </w:style>
  <w:style w:type="paragraph" w:styleId="Subttulo">
    <w:name w:val="Subtitle"/>
    <w:basedOn w:val="Normal"/>
    <w:next w:val="Normal"/>
    <w:link w:val="SubttuloCar"/>
    <w:uiPriority w:val="99"/>
    <w:qFormat/>
    <w:rsid w:val="008D33FF"/>
    <w:pPr>
      <w:numPr>
        <w:ilvl w:val="1"/>
      </w:numPr>
    </w:pPr>
    <w:rPr>
      <w:rFonts w:eastAsia="HGMaruGothicMPRO"/>
      <w:iCs/>
      <w:color w:val="04617B"/>
      <w:sz w:val="40"/>
      <w:szCs w:val="24"/>
      <w:lang w:bidi="hi-IN"/>
    </w:rPr>
  </w:style>
  <w:style w:type="character" w:customStyle="1" w:styleId="SubttuloCar">
    <w:name w:val="Subtítulo Car"/>
    <w:basedOn w:val="Fuentedeprrafopredeter"/>
    <w:link w:val="Subttulo"/>
    <w:uiPriority w:val="99"/>
    <w:locked/>
    <w:rsid w:val="008D33FF"/>
    <w:rPr>
      <w:rFonts w:eastAsia="HGMaruGothicMPRO" w:cs="Times New Roman"/>
      <w:iCs/>
      <w:color w:val="04617B"/>
      <w:sz w:val="24"/>
      <w:szCs w:val="24"/>
      <w:lang w:bidi="hi-IN"/>
    </w:rPr>
  </w:style>
  <w:style w:type="character" w:styleId="Textoennegrita">
    <w:name w:val="Strong"/>
    <w:basedOn w:val="Fuentedeprrafopredeter"/>
    <w:uiPriority w:val="99"/>
    <w:qFormat/>
    <w:rsid w:val="008D33FF"/>
    <w:rPr>
      <w:rFonts w:cs="Times New Roman"/>
      <w:bCs/>
      <w:i/>
      <w:color w:val="04617B"/>
    </w:rPr>
  </w:style>
  <w:style w:type="character" w:styleId="nfasis">
    <w:name w:val="Emphasis"/>
    <w:basedOn w:val="Fuentedeprrafopredeter"/>
    <w:uiPriority w:val="99"/>
    <w:qFormat/>
    <w:rsid w:val="008D33FF"/>
    <w:rPr>
      <w:rFonts w:cs="Times New Roman"/>
      <w:b/>
      <w:i/>
      <w:iCs/>
    </w:rPr>
  </w:style>
  <w:style w:type="paragraph" w:styleId="Citadestacada">
    <w:name w:val="Intense Quote"/>
    <w:basedOn w:val="Normal"/>
    <w:next w:val="Normal"/>
    <w:link w:val="CitadestacadaCar"/>
    <w:uiPriority w:val="99"/>
    <w:qFormat/>
    <w:rsid w:val="008D33FF"/>
    <w:pPr>
      <w:pBdr>
        <w:top w:val="single" w:sz="36" w:space="8" w:color="0F6FC6"/>
        <w:left w:val="single" w:sz="36" w:space="8" w:color="0F6FC6"/>
        <w:bottom w:val="single" w:sz="36" w:space="8" w:color="0F6FC6"/>
        <w:right w:val="single" w:sz="36" w:space="8" w:color="0F6FC6"/>
      </w:pBdr>
      <w:shd w:val="clear" w:color="auto" w:fill="0F6FC6"/>
      <w:spacing w:before="200" w:after="200" w:line="360" w:lineRule="auto"/>
      <w:ind w:left="259" w:right="259"/>
      <w:jc w:val="center"/>
    </w:pPr>
    <w:rPr>
      <w:rFonts w:eastAsia="HGMaruGothicMPRO"/>
      <w:bCs/>
      <w:iCs/>
      <w:color w:val="FFFFFF"/>
      <w:sz w:val="28"/>
      <w:lang w:bidi="hi-IN"/>
    </w:rPr>
  </w:style>
  <w:style w:type="character" w:customStyle="1" w:styleId="CitadestacadaCar">
    <w:name w:val="Cita destacada Car"/>
    <w:basedOn w:val="Fuentedeprrafopredeter"/>
    <w:link w:val="Citadestacada"/>
    <w:uiPriority w:val="99"/>
    <w:locked/>
    <w:rsid w:val="008D33FF"/>
    <w:rPr>
      <w:rFonts w:ascii="Trebuchet MS" w:eastAsia="HGMaruGothicMPRO" w:hAnsi="Trebuchet MS" w:cs="Times New Roman"/>
      <w:bCs/>
      <w:iCs/>
      <w:color w:val="FFFFFF"/>
      <w:sz w:val="28"/>
      <w:shd w:val="clear" w:color="auto" w:fill="0F6FC6"/>
      <w:lang w:bidi="hi-IN"/>
    </w:rPr>
  </w:style>
  <w:style w:type="character" w:styleId="nfasissutil">
    <w:name w:val="Subtle Emphasis"/>
    <w:basedOn w:val="Fuentedeprrafopredeter"/>
    <w:uiPriority w:val="99"/>
    <w:qFormat/>
    <w:rsid w:val="008D33FF"/>
    <w:rPr>
      <w:rFonts w:cs="Times New Roman"/>
      <w:i/>
      <w:iCs/>
      <w:color w:val="000000"/>
    </w:rPr>
  </w:style>
  <w:style w:type="character" w:styleId="nfasisintenso">
    <w:name w:val="Intense Emphasis"/>
    <w:basedOn w:val="Fuentedeprrafopredeter"/>
    <w:uiPriority w:val="99"/>
    <w:qFormat/>
    <w:rsid w:val="008D33FF"/>
    <w:rPr>
      <w:rFonts w:cs="Times New Roman"/>
      <w:b/>
      <w:bCs/>
      <w:i/>
      <w:iCs/>
      <w:color w:val="0F6FC6"/>
    </w:rPr>
  </w:style>
  <w:style w:type="character" w:styleId="Referenciasutil">
    <w:name w:val="Subtle Reference"/>
    <w:basedOn w:val="Fuentedeprrafopredeter"/>
    <w:uiPriority w:val="99"/>
    <w:qFormat/>
    <w:rsid w:val="008D33FF"/>
    <w:rPr>
      <w:rFonts w:cs="Times New Roman"/>
      <w:smallCaps/>
      <w:color w:val="000000"/>
      <w:u w:val="single"/>
    </w:rPr>
  </w:style>
  <w:style w:type="character" w:styleId="Referenciaintensa">
    <w:name w:val="Intense Reference"/>
    <w:basedOn w:val="Fuentedeprrafopredeter"/>
    <w:uiPriority w:val="99"/>
    <w:qFormat/>
    <w:rsid w:val="008D33FF"/>
    <w:rPr>
      <w:rFonts w:cs="Times New Roman"/>
      <w:bCs/>
      <w:smallCaps/>
      <w:color w:val="0F6FC6"/>
      <w:spacing w:val="5"/>
      <w:u w:val="single"/>
    </w:rPr>
  </w:style>
  <w:style w:type="character" w:styleId="Ttulodellibro">
    <w:name w:val="Book Title"/>
    <w:basedOn w:val="Fuentedeprrafopredeter"/>
    <w:uiPriority w:val="99"/>
    <w:qFormat/>
    <w:rsid w:val="008D33FF"/>
    <w:rPr>
      <w:rFonts w:cs="Times New Roman"/>
      <w:b/>
      <w:bCs/>
      <w:caps/>
      <w:color w:val="04617B"/>
      <w:spacing w:val="10"/>
    </w:rPr>
  </w:style>
  <w:style w:type="character" w:styleId="Nmerodepgina">
    <w:name w:val="page number"/>
    <w:basedOn w:val="Fuentedeprrafopredeter"/>
    <w:uiPriority w:val="99"/>
    <w:semiHidden/>
    <w:rsid w:val="00EA1111"/>
    <w:rPr>
      <w:rFonts w:cs="Times New Roman"/>
    </w:rPr>
  </w:style>
  <w:style w:type="table" w:styleId="Sombreadovistoso-nfasis2">
    <w:name w:val="Colorful Shading Accent 2"/>
    <w:basedOn w:val="Tablanormal"/>
    <w:uiPriority w:val="99"/>
    <w:rsid w:val="003B664F"/>
    <w:pPr>
      <w:spacing w:before="40"/>
    </w:pPr>
    <w:rPr>
      <w:color w:val="000000"/>
      <w:sz w:val="20"/>
      <w:szCs w:val="20"/>
      <w:lang w:val="en-US" w:eastAsia="ja-JP"/>
    </w:rPr>
    <w:tblPr>
      <w:tblStyleRowBandSize w:val="1"/>
      <w:tblStyleColBandSize w:val="1"/>
      <w:tblBorders>
        <w:top w:val="single" w:sz="24" w:space="0" w:color="009DD9"/>
        <w:left w:val="single" w:sz="4" w:space="0" w:color="009DD9"/>
        <w:bottom w:val="single" w:sz="4" w:space="0" w:color="009DD9"/>
        <w:right w:val="single" w:sz="4" w:space="0" w:color="009DD9"/>
        <w:insideH w:val="single" w:sz="4" w:space="0" w:color="FFFFFF"/>
        <w:insideV w:val="single" w:sz="4" w:space="0" w:color="FFFFFF"/>
      </w:tblBorders>
    </w:tblPr>
    <w:tcPr>
      <w:shd w:val="clear" w:color="auto" w:fill="E2F6FF"/>
    </w:tcPr>
    <w:tblStylePr w:type="firstRow">
      <w:rPr>
        <w:rFonts w:cs="Times New Roman"/>
        <w:b/>
        <w:bCs/>
      </w:rPr>
      <w:tblPr/>
      <w:tcPr>
        <w:tcBorders>
          <w:top w:val="nil"/>
          <w:left w:val="nil"/>
          <w:bottom w:val="single" w:sz="24" w:space="0" w:color="009DD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5D82"/>
      </w:tcPr>
    </w:tblStylePr>
    <w:tblStylePr w:type="firstCol">
      <w:rPr>
        <w:rFonts w:cs="Times New Roman"/>
        <w:color w:val="FFFFFF"/>
      </w:rPr>
      <w:tblPr/>
      <w:tcPr>
        <w:tcBorders>
          <w:top w:val="nil"/>
          <w:left w:val="nil"/>
          <w:bottom w:val="nil"/>
          <w:right w:val="nil"/>
          <w:insideH w:val="single" w:sz="4" w:space="0" w:color="005D82"/>
          <w:insideV w:val="nil"/>
        </w:tcBorders>
        <w:shd w:val="clear" w:color="auto" w:fill="005D82"/>
      </w:tcPr>
    </w:tblStylePr>
    <w:tblStylePr w:type="lastCol">
      <w:rPr>
        <w:rFonts w:cs="Times New Roman"/>
        <w:color w:val="FFFFFF"/>
      </w:rPr>
      <w:tblPr/>
      <w:tcPr>
        <w:tcBorders>
          <w:top w:val="nil"/>
          <w:left w:val="nil"/>
          <w:bottom w:val="nil"/>
          <w:right w:val="nil"/>
          <w:insideH w:val="nil"/>
          <w:insideV w:val="nil"/>
        </w:tcBorders>
        <w:shd w:val="clear" w:color="auto" w:fill="005D82"/>
      </w:tcPr>
    </w:tblStylePr>
    <w:tblStylePr w:type="band1Vert">
      <w:rPr>
        <w:rFonts w:cs="Times New Roman"/>
      </w:rPr>
      <w:tblPr/>
      <w:tcPr>
        <w:shd w:val="clear" w:color="auto" w:fill="89DEFF"/>
      </w:tcPr>
    </w:tblStylePr>
    <w:tblStylePr w:type="band1Horz">
      <w:rPr>
        <w:rFonts w:cs="Times New Roman"/>
      </w:rPr>
      <w:tblPr/>
      <w:tcPr>
        <w:shd w:val="clear" w:color="auto" w:fill="6DD6FF"/>
      </w:tcPr>
    </w:tblStylePr>
    <w:tblStylePr w:type="neCell">
      <w:rPr>
        <w:rFonts w:cs="Times New Roman"/>
        <w:color w:val="000000"/>
      </w:rPr>
    </w:tblStylePr>
    <w:tblStylePr w:type="nwCell">
      <w:rPr>
        <w:rFonts w:cs="Times New Roman"/>
        <w:color w:val="000000"/>
      </w:rPr>
    </w:tblStylePr>
  </w:style>
  <w:style w:type="character" w:styleId="Refdecomentario">
    <w:name w:val="annotation reference"/>
    <w:basedOn w:val="Fuentedeprrafopredeter"/>
    <w:uiPriority w:val="99"/>
    <w:semiHidden/>
    <w:rsid w:val="00BC46AD"/>
    <w:rPr>
      <w:rFonts w:cs="Times New Roman"/>
      <w:sz w:val="16"/>
      <w:szCs w:val="16"/>
    </w:rPr>
  </w:style>
  <w:style w:type="paragraph" w:styleId="Textocomentario">
    <w:name w:val="annotation text"/>
    <w:basedOn w:val="Normal"/>
    <w:link w:val="TextocomentarioCar"/>
    <w:uiPriority w:val="99"/>
    <w:semiHidden/>
    <w:rsid w:val="00BC46AD"/>
    <w:rPr>
      <w:sz w:val="20"/>
      <w:szCs w:val="20"/>
    </w:rPr>
  </w:style>
  <w:style w:type="character" w:customStyle="1" w:styleId="TextocomentarioCar">
    <w:name w:val="Texto comentario Car"/>
    <w:basedOn w:val="Fuentedeprrafopredeter"/>
    <w:link w:val="Textocomentario"/>
    <w:uiPriority w:val="99"/>
    <w:semiHidden/>
    <w:rsid w:val="00E01136"/>
    <w:rPr>
      <w:sz w:val="20"/>
      <w:szCs w:val="20"/>
      <w:lang w:eastAsia="en-US"/>
    </w:rPr>
  </w:style>
  <w:style w:type="paragraph" w:styleId="Asuntodelcomentario">
    <w:name w:val="annotation subject"/>
    <w:basedOn w:val="Textocomentario"/>
    <w:next w:val="Textocomentario"/>
    <w:link w:val="AsuntodelcomentarioCar"/>
    <w:uiPriority w:val="99"/>
    <w:semiHidden/>
    <w:rsid w:val="00BC46AD"/>
    <w:rPr>
      <w:b/>
      <w:bCs/>
    </w:rPr>
  </w:style>
  <w:style w:type="character" w:customStyle="1" w:styleId="AsuntodelcomentarioCar">
    <w:name w:val="Asunto del comentario Car"/>
    <w:basedOn w:val="TextocomentarioCar"/>
    <w:link w:val="Asuntodelcomentario"/>
    <w:uiPriority w:val="99"/>
    <w:semiHidden/>
    <w:rsid w:val="00E0113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23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33;ctor%20Mar&#237;n\Documents\plantillas%20personalizadas%20de%20office\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93FB-6D3E-4417-BEF3-9B0D2DCB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9</Pages>
  <Words>3296</Words>
  <Characters>18132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evaluación Específica costo efectivdad</vt:lpstr>
    </vt:vector>
  </TitlesOfParts>
  <Company>UNAm -  Instituto de investigaciones Sociales</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Específica costo efectivdad</dc:title>
  <dc:subject>PP E022 – Operación y Conservación de Estructura Ferroviaria</dc:subject>
  <dc:creator>Ferrocarril del Itsmo de Tehuantepec, S.A. de C.V.</dc:creator>
  <cp:lastModifiedBy>MXL41305VW</cp:lastModifiedBy>
  <cp:revision>2</cp:revision>
  <cp:lastPrinted>2016-02-29T16:12:00Z</cp:lastPrinted>
  <dcterms:created xsi:type="dcterms:W3CDTF">2016-02-29T16:16:00Z</dcterms:created>
  <dcterms:modified xsi:type="dcterms:W3CDTF">2016-02-29T16:16:00Z</dcterms:modified>
</cp:coreProperties>
</file>